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BCEE0">
      <w:pPr>
        <w:spacing w:before="240" w:beforeLines="100" w:after="240" w:afterLines="100" w:line="360" w:lineRule="auto"/>
        <w:jc w:val="center"/>
        <w:rPr>
          <w:rFonts w:ascii="宋体" w:hAnsi="宋体" w:eastAsia="宋体" w:cs="宋体"/>
          <w:b/>
          <w:color w:val="auto"/>
          <w:sz w:val="36"/>
          <w:szCs w:val="36"/>
          <w:highlight w:val="none"/>
        </w:rPr>
      </w:pPr>
      <w:bookmarkStart w:id="0" w:name="_GoBack"/>
      <w:bookmarkEnd w:id="0"/>
      <w:r>
        <w:rPr>
          <w:rFonts w:hint="eastAsia" w:ascii="宋体" w:hAnsi="宋体" w:eastAsia="宋体" w:cs="宋体"/>
          <w:b/>
          <w:color w:val="auto"/>
          <w:sz w:val="36"/>
          <w:szCs w:val="36"/>
          <w:highlight w:val="none"/>
          <w:lang w:eastAsia="zh-CN"/>
        </w:rPr>
        <w:t>夏园社区停车场智能门岗设备升级改造</w:t>
      </w:r>
      <w:r>
        <w:rPr>
          <w:rFonts w:hint="eastAsia" w:ascii="宋体" w:hAnsi="宋体" w:eastAsia="宋体" w:cs="宋体"/>
          <w:b/>
          <w:color w:val="auto"/>
          <w:sz w:val="36"/>
          <w:szCs w:val="36"/>
          <w:highlight w:val="none"/>
        </w:rPr>
        <w:t>合同</w:t>
      </w:r>
    </w:p>
    <w:p w14:paraId="081239FB">
      <w:pPr>
        <w:pStyle w:val="8"/>
        <w:spacing w:before="120" w:beforeLines="50" w:after="120" w:afterLines="50" w:line="360" w:lineRule="auto"/>
        <w:jc w:val="both"/>
        <w:rPr>
          <w:rFonts w:ascii="宋体" w:hAnsi="宋体"/>
          <w:color w:val="auto"/>
          <w:sz w:val="24"/>
          <w:szCs w:val="24"/>
          <w:highlight w:val="none"/>
        </w:rPr>
      </w:pPr>
    </w:p>
    <w:p w14:paraId="604EDB74">
      <w:pPr>
        <w:pStyle w:val="8"/>
        <w:spacing w:before="120" w:beforeLines="50" w:after="120" w:afterLines="50" w:line="360" w:lineRule="auto"/>
        <w:jc w:val="both"/>
        <w:rPr>
          <w:rFonts w:ascii="宋体" w:hAnsi="宋体"/>
          <w:color w:val="auto"/>
          <w:sz w:val="24"/>
          <w:szCs w:val="24"/>
          <w:highlight w:val="none"/>
        </w:rPr>
      </w:pPr>
    </w:p>
    <w:p w14:paraId="2E7E62CB">
      <w:pPr>
        <w:pStyle w:val="8"/>
        <w:spacing w:before="120" w:beforeLines="50" w:after="120" w:afterLines="50" w:line="360" w:lineRule="auto"/>
        <w:jc w:val="both"/>
        <w:rPr>
          <w:rFonts w:ascii="宋体" w:hAnsi="宋体"/>
          <w:color w:val="auto"/>
          <w:sz w:val="24"/>
          <w:szCs w:val="24"/>
          <w:highlight w:val="none"/>
        </w:rPr>
      </w:pPr>
    </w:p>
    <w:p w14:paraId="3AA86E8D">
      <w:pPr>
        <w:pStyle w:val="8"/>
        <w:spacing w:before="120" w:beforeLines="50" w:after="120" w:afterLines="50" w:line="360" w:lineRule="auto"/>
        <w:jc w:val="both"/>
        <w:rPr>
          <w:rFonts w:ascii="宋体" w:hAnsi="宋体"/>
          <w:color w:val="auto"/>
          <w:sz w:val="24"/>
          <w:szCs w:val="24"/>
          <w:highlight w:val="none"/>
        </w:rPr>
      </w:pPr>
    </w:p>
    <w:p w14:paraId="0048497A">
      <w:pPr>
        <w:pStyle w:val="8"/>
        <w:spacing w:before="120" w:beforeLines="50" w:after="120" w:afterLines="50" w:line="360" w:lineRule="auto"/>
        <w:jc w:val="both"/>
        <w:rPr>
          <w:rFonts w:ascii="宋体" w:hAnsi="宋体"/>
          <w:color w:val="auto"/>
          <w:sz w:val="24"/>
          <w:szCs w:val="24"/>
          <w:highlight w:val="none"/>
        </w:rPr>
      </w:pPr>
    </w:p>
    <w:p w14:paraId="27BD5B63">
      <w:pPr>
        <w:pStyle w:val="8"/>
        <w:spacing w:before="120" w:beforeLines="50" w:after="120" w:afterLines="50" w:line="360" w:lineRule="auto"/>
        <w:jc w:val="both"/>
        <w:rPr>
          <w:rFonts w:ascii="宋体" w:hAnsi="宋体"/>
          <w:color w:val="auto"/>
          <w:sz w:val="24"/>
          <w:szCs w:val="24"/>
          <w:highlight w:val="none"/>
        </w:rPr>
      </w:pPr>
    </w:p>
    <w:p w14:paraId="20D73D06">
      <w:pPr>
        <w:pStyle w:val="8"/>
        <w:spacing w:before="120" w:beforeLines="50" w:after="120" w:afterLines="50" w:line="600" w:lineRule="auto"/>
        <w:jc w:val="both"/>
        <w:rPr>
          <w:rFonts w:hint="default" w:ascii="宋体" w:hAnsi="宋体"/>
          <w:b/>
          <w:bCs/>
          <w:color w:val="auto"/>
          <w:sz w:val="24"/>
          <w:szCs w:val="24"/>
          <w:highlight w:val="none"/>
        </w:rPr>
      </w:pPr>
      <w:r>
        <w:rPr>
          <w:rFonts w:ascii="宋体" w:hAnsi="宋体"/>
          <w:b/>
          <w:bCs/>
          <w:color w:val="auto"/>
          <w:sz w:val="24"/>
          <w:szCs w:val="24"/>
          <w:highlight w:val="none"/>
        </w:rPr>
        <w:t>甲方（采购人）：____________________________</w:t>
      </w:r>
    </w:p>
    <w:p w14:paraId="6D0BE111">
      <w:pPr>
        <w:pStyle w:val="8"/>
        <w:spacing w:before="120" w:beforeLines="50" w:after="120" w:afterLines="50" w:line="600" w:lineRule="auto"/>
        <w:jc w:val="both"/>
        <w:rPr>
          <w:rFonts w:ascii="宋体" w:hAnsi="宋体"/>
          <w:b/>
          <w:bCs/>
          <w:color w:val="auto"/>
          <w:sz w:val="24"/>
          <w:szCs w:val="24"/>
          <w:highlight w:val="none"/>
        </w:rPr>
      </w:pPr>
      <w:r>
        <w:rPr>
          <w:rFonts w:ascii="宋体" w:hAnsi="宋体"/>
          <w:b/>
          <w:bCs/>
          <w:color w:val="auto"/>
          <w:sz w:val="24"/>
          <w:szCs w:val="24"/>
          <w:highlight w:val="none"/>
        </w:rPr>
        <w:t>乙方（成交供应商）：____________________________</w:t>
      </w:r>
    </w:p>
    <w:p w14:paraId="37C795DD">
      <w:pPr>
        <w:pStyle w:val="8"/>
        <w:spacing w:before="120" w:beforeLines="50" w:after="120" w:afterLines="50" w:line="600" w:lineRule="auto"/>
        <w:jc w:val="both"/>
        <w:rPr>
          <w:rFonts w:ascii="宋体" w:hAnsi="宋体"/>
          <w:b/>
          <w:bCs/>
          <w:color w:val="auto"/>
          <w:sz w:val="24"/>
          <w:szCs w:val="24"/>
          <w:highlight w:val="none"/>
        </w:rPr>
      </w:pPr>
    </w:p>
    <w:p w14:paraId="45F8A280">
      <w:pPr>
        <w:pStyle w:val="8"/>
        <w:spacing w:before="120" w:beforeLines="50" w:after="120" w:afterLines="50" w:line="600" w:lineRule="auto"/>
        <w:jc w:val="both"/>
        <w:rPr>
          <w:rFonts w:ascii="宋体" w:hAnsi="宋体"/>
          <w:b/>
          <w:bCs/>
          <w:color w:val="auto"/>
          <w:sz w:val="24"/>
          <w:szCs w:val="24"/>
          <w:highlight w:val="none"/>
        </w:rPr>
      </w:pPr>
    </w:p>
    <w:p w14:paraId="55CFA03F">
      <w:pPr>
        <w:pStyle w:val="8"/>
        <w:spacing w:before="120" w:beforeLines="50" w:after="120" w:afterLines="50" w:line="600" w:lineRule="auto"/>
        <w:jc w:val="both"/>
        <w:rPr>
          <w:rFonts w:ascii="宋体" w:hAnsi="宋体"/>
          <w:b/>
          <w:bCs/>
          <w:color w:val="auto"/>
          <w:sz w:val="24"/>
          <w:szCs w:val="24"/>
          <w:highlight w:val="none"/>
        </w:rPr>
      </w:pPr>
    </w:p>
    <w:p w14:paraId="79922C99">
      <w:pPr>
        <w:pStyle w:val="8"/>
        <w:spacing w:before="120" w:beforeLines="50" w:after="120" w:afterLines="50" w:line="600" w:lineRule="auto"/>
        <w:jc w:val="both"/>
        <w:rPr>
          <w:rFonts w:ascii="宋体" w:hAnsi="宋体"/>
          <w:b/>
          <w:bCs/>
          <w:color w:val="auto"/>
          <w:sz w:val="24"/>
          <w:szCs w:val="24"/>
          <w:highlight w:val="none"/>
        </w:rPr>
      </w:pPr>
    </w:p>
    <w:p w14:paraId="66271415">
      <w:pPr>
        <w:pStyle w:val="8"/>
        <w:spacing w:before="120" w:beforeLines="50" w:after="120" w:afterLines="50" w:line="600" w:lineRule="auto"/>
        <w:jc w:val="both"/>
        <w:rPr>
          <w:rFonts w:ascii="宋体" w:hAnsi="宋体"/>
          <w:b/>
          <w:bCs/>
          <w:color w:val="auto"/>
          <w:sz w:val="24"/>
          <w:szCs w:val="24"/>
          <w:highlight w:val="none"/>
        </w:rPr>
      </w:pPr>
    </w:p>
    <w:p w14:paraId="061B624E">
      <w:pPr>
        <w:pStyle w:val="8"/>
        <w:spacing w:before="120" w:beforeLines="50" w:after="120" w:afterLines="50" w:line="600" w:lineRule="auto"/>
        <w:jc w:val="both"/>
        <w:rPr>
          <w:rFonts w:hint="default" w:ascii="宋体" w:hAnsi="宋体"/>
          <w:b/>
          <w:bCs/>
          <w:color w:val="auto"/>
          <w:sz w:val="24"/>
          <w:szCs w:val="24"/>
          <w:highlight w:val="none"/>
        </w:rPr>
      </w:pPr>
    </w:p>
    <w:p w14:paraId="69901116">
      <w:pPr>
        <w:spacing w:line="360" w:lineRule="auto"/>
        <w:ind w:firstLine="480" w:firstLineChars="200"/>
        <w:rPr>
          <w:rFonts w:hint="eastAsia" w:ascii="宋体" w:hAnsi="宋体" w:eastAsia="宋体" w:cs="仿宋"/>
          <w:color w:val="auto"/>
          <w:sz w:val="24"/>
          <w:highlight w:val="none"/>
        </w:rPr>
      </w:pPr>
    </w:p>
    <w:p w14:paraId="783089C3">
      <w:pPr>
        <w:spacing w:line="360" w:lineRule="auto"/>
        <w:ind w:firstLine="480" w:firstLineChars="200"/>
        <w:rPr>
          <w:rFonts w:hint="eastAsia" w:ascii="宋体" w:hAnsi="宋体" w:eastAsia="宋体" w:cs="仿宋"/>
          <w:color w:val="auto"/>
          <w:sz w:val="24"/>
          <w:highlight w:val="none"/>
        </w:rPr>
      </w:pPr>
    </w:p>
    <w:p w14:paraId="17A0F52F">
      <w:pPr>
        <w:spacing w:line="360" w:lineRule="auto"/>
        <w:ind w:firstLine="480" w:firstLineChars="200"/>
        <w:rPr>
          <w:rFonts w:hint="eastAsia" w:ascii="宋体" w:hAnsi="宋体" w:eastAsia="宋体" w:cs="仿宋"/>
          <w:color w:val="auto"/>
          <w:sz w:val="24"/>
          <w:highlight w:val="none"/>
        </w:rPr>
      </w:pPr>
    </w:p>
    <w:p w14:paraId="30AA2786">
      <w:pPr>
        <w:spacing w:line="360" w:lineRule="auto"/>
        <w:ind w:firstLine="480" w:firstLineChars="200"/>
        <w:rPr>
          <w:rFonts w:hint="eastAsia" w:ascii="宋体" w:hAnsi="宋体" w:eastAsia="宋体" w:cs="仿宋"/>
          <w:color w:val="auto"/>
          <w:sz w:val="24"/>
          <w:highlight w:val="none"/>
        </w:rPr>
      </w:pPr>
    </w:p>
    <w:p w14:paraId="31C7E06C">
      <w:pPr>
        <w:spacing w:line="360" w:lineRule="auto"/>
        <w:ind w:firstLine="480" w:firstLineChars="200"/>
        <w:rPr>
          <w:rFonts w:ascii="宋体" w:hAnsi="宋体" w:eastAsia="宋体" w:cs="仿宋"/>
          <w:color w:val="auto"/>
          <w:sz w:val="24"/>
          <w:highlight w:val="none"/>
        </w:rPr>
      </w:pPr>
      <w:r>
        <w:rPr>
          <w:rFonts w:hint="eastAsia" w:ascii="宋体" w:hAnsi="宋体" w:eastAsia="宋体" w:cs="仿宋"/>
          <w:color w:val="auto"/>
          <w:sz w:val="24"/>
          <w:highlight w:val="none"/>
        </w:rPr>
        <w:t>根据《中华人民共和国民法典》及</w:t>
      </w:r>
      <w:r>
        <w:rPr>
          <w:rFonts w:hint="eastAsia" w:ascii="宋体" w:hAnsi="宋体" w:eastAsia="宋体" w:cs="仿宋"/>
          <w:color w:val="auto"/>
          <w:sz w:val="24"/>
          <w:highlight w:val="none"/>
          <w:lang w:eastAsia="zh-CN"/>
        </w:rPr>
        <w:t>夏园社区停车场智能门岗设备升级改造</w:t>
      </w:r>
      <w:r>
        <w:rPr>
          <w:rFonts w:hint="eastAsia" w:ascii="宋体" w:hAnsi="宋体" w:eastAsia="宋体" w:cs="仿宋"/>
          <w:color w:val="auto"/>
          <w:sz w:val="24"/>
          <w:highlight w:val="none"/>
          <w:lang w:val="en-US" w:eastAsia="zh-CN"/>
        </w:rPr>
        <w:t>采购结果及</w:t>
      </w:r>
      <w:r>
        <w:rPr>
          <w:rFonts w:hint="eastAsia" w:ascii="宋体" w:hAnsi="宋体" w:eastAsia="宋体" w:cs="仿宋"/>
          <w:color w:val="auto"/>
          <w:sz w:val="24"/>
          <w:highlight w:val="none"/>
        </w:rPr>
        <w:t>磋商文件</w:t>
      </w:r>
      <w:r>
        <w:rPr>
          <w:rFonts w:hint="eastAsia" w:ascii="宋体" w:hAnsi="宋体" w:eastAsia="宋体" w:cs="仿宋"/>
          <w:color w:val="auto"/>
          <w:sz w:val="24"/>
          <w:highlight w:val="none"/>
          <w:lang w:eastAsia="zh-CN"/>
        </w:rPr>
        <w:t>、</w:t>
      </w:r>
      <w:r>
        <w:rPr>
          <w:rFonts w:hint="eastAsia" w:ascii="宋体" w:hAnsi="宋体" w:eastAsia="宋体" w:cs="仿宋"/>
          <w:color w:val="auto"/>
          <w:sz w:val="24"/>
          <w:highlight w:val="none"/>
        </w:rPr>
        <w:t>响应文件（项目编号：</w:t>
      </w:r>
      <w:r>
        <w:rPr>
          <w:rFonts w:hint="eastAsia" w:ascii="宋体" w:hAnsi="宋体" w:eastAsia="宋体" w:cs="仿宋"/>
          <w:color w:val="auto"/>
          <w:sz w:val="24"/>
          <w:highlight w:val="none"/>
          <w:lang w:eastAsia="zh-CN"/>
        </w:rPr>
        <w:t>HC202563070602080</w:t>
      </w:r>
      <w:r>
        <w:rPr>
          <w:rFonts w:hint="eastAsia" w:ascii="宋体" w:hAnsi="宋体" w:eastAsia="宋体" w:cs="仿宋"/>
          <w:color w:val="auto"/>
          <w:sz w:val="24"/>
          <w:highlight w:val="none"/>
        </w:rPr>
        <w:t>）的要求，甲方委托乙方按磋商文件、经甲方确认的响应文件要求开展工作，经双方协商一致，签订本合同。</w:t>
      </w:r>
    </w:p>
    <w:p w14:paraId="225E7105">
      <w:pPr>
        <w:pStyle w:val="4"/>
        <w:spacing w:before="120" w:beforeLines="50" w:afterLines="50" w:line="360" w:lineRule="auto"/>
        <w:rPr>
          <w:rFonts w:ascii="宋体" w:hAnsi="宋体" w:cs="仿宋"/>
          <w:b/>
          <w:bCs/>
          <w:sz w:val="24"/>
          <w:highlight w:val="none"/>
        </w:rPr>
      </w:pPr>
      <w:r>
        <w:rPr>
          <w:rFonts w:hint="eastAsia" w:ascii="宋体" w:hAnsi="宋体" w:cs="仿宋"/>
          <w:b/>
          <w:bCs/>
          <w:spacing w:val="8"/>
          <w:sz w:val="24"/>
          <w:highlight w:val="none"/>
        </w:rPr>
        <w:t>第一条  合同的组成</w:t>
      </w:r>
    </w:p>
    <w:p w14:paraId="24BE70FB">
      <w:pPr>
        <w:pStyle w:val="4"/>
        <w:spacing w:after="0" w:line="360" w:lineRule="auto"/>
        <w:ind w:firstLine="504" w:firstLineChars="200"/>
        <w:rPr>
          <w:rFonts w:ascii="宋体" w:hAnsi="宋体" w:cs="仿宋"/>
          <w:spacing w:val="6"/>
          <w:sz w:val="24"/>
          <w:highlight w:val="none"/>
        </w:rPr>
      </w:pPr>
      <w:r>
        <w:rPr>
          <w:rFonts w:hint="eastAsia" w:ascii="宋体" w:hAnsi="宋体" w:cs="仿宋"/>
          <w:spacing w:val="6"/>
          <w:sz w:val="24"/>
          <w:highlight w:val="none"/>
        </w:rPr>
        <w:t>所有附件及本项目的磋商文件、响应文件、</w:t>
      </w:r>
      <w:r>
        <w:rPr>
          <w:rFonts w:hint="eastAsia" w:ascii="宋体" w:hAnsi="宋体" w:cs="仿宋"/>
          <w:spacing w:val="6"/>
          <w:sz w:val="24"/>
          <w:highlight w:val="none"/>
          <w:lang w:val="en-US" w:eastAsia="zh-CN"/>
        </w:rPr>
        <w:t>成交通知书、</w:t>
      </w:r>
      <w:r>
        <w:rPr>
          <w:rFonts w:hint="eastAsia" w:ascii="宋体" w:hAnsi="宋体" w:cs="仿宋"/>
          <w:spacing w:val="6"/>
          <w:sz w:val="24"/>
          <w:highlight w:val="none"/>
        </w:rPr>
        <w:t>会议纪要、协议等均为本合同不可分割之一部分。</w:t>
      </w:r>
    </w:p>
    <w:p w14:paraId="11B2346E">
      <w:pPr>
        <w:pStyle w:val="4"/>
        <w:spacing w:before="120" w:beforeLines="50" w:afterLines="50" w:line="360" w:lineRule="auto"/>
        <w:rPr>
          <w:rFonts w:ascii="宋体" w:hAnsi="宋体" w:cs="仿宋"/>
          <w:b/>
          <w:bCs/>
          <w:spacing w:val="8"/>
          <w:sz w:val="24"/>
          <w:highlight w:val="none"/>
        </w:rPr>
      </w:pPr>
      <w:r>
        <w:rPr>
          <w:rFonts w:hint="eastAsia" w:ascii="宋体" w:hAnsi="宋体" w:cs="仿宋"/>
          <w:b/>
          <w:bCs/>
          <w:spacing w:val="8"/>
          <w:sz w:val="24"/>
          <w:highlight w:val="none"/>
        </w:rPr>
        <w:t>第二条  合同金额</w:t>
      </w:r>
    </w:p>
    <w:p w14:paraId="4A79AD48">
      <w:pPr>
        <w:pStyle w:val="4"/>
        <w:spacing w:after="0" w:line="360" w:lineRule="auto"/>
        <w:ind w:firstLine="504" w:firstLineChars="200"/>
        <w:rPr>
          <w:rFonts w:ascii="宋体" w:hAnsi="宋体" w:cs="仿宋"/>
          <w:spacing w:val="6"/>
          <w:sz w:val="24"/>
          <w:highlight w:val="none"/>
        </w:rPr>
      </w:pPr>
      <w:r>
        <w:rPr>
          <w:rFonts w:hint="eastAsia" w:ascii="宋体" w:hAnsi="宋体" w:cs="仿宋"/>
          <w:spacing w:val="6"/>
          <w:sz w:val="24"/>
          <w:highlight w:val="none"/>
        </w:rPr>
        <w:t>合同金额为（大写）：人民币</w:t>
      </w:r>
      <w:r>
        <w:rPr>
          <w:rFonts w:hint="eastAsia" w:ascii="宋体" w:hAnsi="宋体" w:cs="仿宋"/>
          <w:b/>
          <w:sz w:val="24"/>
          <w:highlight w:val="none"/>
          <w:u w:val="single"/>
        </w:rPr>
        <w:t xml:space="preserve">       </w:t>
      </w:r>
      <w:r>
        <w:rPr>
          <w:rFonts w:hint="eastAsia" w:ascii="宋体" w:hAnsi="宋体" w:cs="仿宋"/>
          <w:spacing w:val="6"/>
          <w:sz w:val="24"/>
          <w:highlight w:val="none"/>
        </w:rPr>
        <w:t>元(含税）。</w:t>
      </w:r>
    </w:p>
    <w:p w14:paraId="381865AE">
      <w:pPr>
        <w:pStyle w:val="4"/>
        <w:spacing w:before="120" w:beforeLines="50" w:afterLines="50" w:line="360" w:lineRule="auto"/>
        <w:rPr>
          <w:rFonts w:ascii="宋体" w:hAnsi="宋体" w:cs="仿宋"/>
          <w:b/>
          <w:bCs/>
          <w:spacing w:val="8"/>
          <w:sz w:val="24"/>
          <w:highlight w:val="none"/>
        </w:rPr>
      </w:pPr>
      <w:r>
        <w:rPr>
          <w:rFonts w:hint="eastAsia" w:ascii="宋体" w:hAnsi="宋体" w:cs="仿宋"/>
          <w:b/>
          <w:bCs/>
          <w:spacing w:val="8"/>
          <w:sz w:val="24"/>
          <w:highlight w:val="none"/>
        </w:rPr>
        <w:t>第三条  服务期限及服务地点</w:t>
      </w:r>
    </w:p>
    <w:p w14:paraId="459C58E5">
      <w:pPr>
        <w:pStyle w:val="4"/>
        <w:spacing w:after="0" w:line="360" w:lineRule="auto"/>
        <w:ind w:firstLine="504" w:firstLineChars="200"/>
        <w:rPr>
          <w:rFonts w:ascii="宋体" w:hAnsi="宋体" w:cs="仿宋"/>
          <w:spacing w:val="6"/>
          <w:sz w:val="24"/>
          <w:highlight w:val="none"/>
        </w:rPr>
      </w:pPr>
      <w:r>
        <w:rPr>
          <w:rFonts w:hint="eastAsia" w:ascii="宋体" w:hAnsi="宋体" w:cs="仿宋"/>
          <w:spacing w:val="6"/>
          <w:sz w:val="24"/>
          <w:highlight w:val="none"/>
        </w:rPr>
        <w:t>服务期限：服务期限自</w:t>
      </w:r>
      <w:r>
        <w:rPr>
          <w:rFonts w:hint="eastAsia" w:ascii="宋体" w:hAnsi="宋体" w:cs="仿宋"/>
          <w:b/>
          <w:sz w:val="24"/>
          <w:highlight w:val="none"/>
          <w:u w:val="single"/>
        </w:rPr>
        <w:t xml:space="preserve">     </w:t>
      </w:r>
      <w:r>
        <w:rPr>
          <w:rFonts w:hint="eastAsia" w:ascii="宋体" w:hAnsi="宋体" w:cs="仿宋"/>
          <w:spacing w:val="6"/>
          <w:sz w:val="24"/>
          <w:highlight w:val="none"/>
        </w:rPr>
        <w:t>年</w:t>
      </w:r>
      <w:r>
        <w:rPr>
          <w:rFonts w:hint="eastAsia" w:ascii="宋体" w:hAnsi="宋体" w:cs="仿宋"/>
          <w:b/>
          <w:sz w:val="24"/>
          <w:highlight w:val="none"/>
          <w:u w:val="single"/>
        </w:rPr>
        <w:t xml:space="preserve">     </w:t>
      </w:r>
      <w:r>
        <w:rPr>
          <w:rFonts w:hint="eastAsia" w:ascii="宋体" w:hAnsi="宋体" w:cs="仿宋"/>
          <w:spacing w:val="6"/>
          <w:sz w:val="24"/>
          <w:highlight w:val="none"/>
        </w:rPr>
        <w:t>月</w:t>
      </w:r>
      <w:r>
        <w:rPr>
          <w:rFonts w:hint="eastAsia" w:ascii="宋体" w:hAnsi="宋体" w:cs="仿宋"/>
          <w:b/>
          <w:sz w:val="24"/>
          <w:highlight w:val="none"/>
          <w:u w:val="single"/>
        </w:rPr>
        <w:t xml:space="preserve">     </w:t>
      </w:r>
      <w:r>
        <w:rPr>
          <w:rFonts w:hint="eastAsia" w:ascii="宋体" w:hAnsi="宋体" w:cs="仿宋"/>
          <w:spacing w:val="6"/>
          <w:sz w:val="24"/>
          <w:highlight w:val="none"/>
        </w:rPr>
        <w:t>日至</w:t>
      </w:r>
      <w:r>
        <w:rPr>
          <w:rFonts w:hint="eastAsia" w:ascii="宋体" w:hAnsi="宋体" w:cs="仿宋"/>
          <w:b/>
          <w:sz w:val="24"/>
          <w:highlight w:val="none"/>
          <w:u w:val="single"/>
        </w:rPr>
        <w:t xml:space="preserve">     </w:t>
      </w:r>
      <w:r>
        <w:rPr>
          <w:rFonts w:hint="eastAsia" w:ascii="宋体" w:hAnsi="宋体" w:cs="仿宋"/>
          <w:spacing w:val="6"/>
          <w:sz w:val="24"/>
          <w:highlight w:val="none"/>
        </w:rPr>
        <w:t>年</w:t>
      </w:r>
      <w:r>
        <w:rPr>
          <w:rFonts w:hint="eastAsia" w:ascii="宋体" w:hAnsi="宋体" w:cs="仿宋"/>
          <w:b/>
          <w:sz w:val="24"/>
          <w:highlight w:val="none"/>
          <w:u w:val="single"/>
        </w:rPr>
        <w:t xml:space="preserve">     </w:t>
      </w:r>
      <w:r>
        <w:rPr>
          <w:rFonts w:hint="eastAsia" w:ascii="宋体" w:hAnsi="宋体" w:cs="仿宋"/>
          <w:spacing w:val="6"/>
          <w:sz w:val="24"/>
          <w:highlight w:val="none"/>
        </w:rPr>
        <w:t>月</w:t>
      </w:r>
      <w:r>
        <w:rPr>
          <w:rFonts w:hint="eastAsia" w:ascii="宋体" w:hAnsi="宋体" w:cs="仿宋"/>
          <w:b/>
          <w:sz w:val="24"/>
          <w:highlight w:val="none"/>
          <w:u w:val="single"/>
        </w:rPr>
        <w:t xml:space="preserve">     </w:t>
      </w:r>
      <w:r>
        <w:rPr>
          <w:rFonts w:hint="eastAsia" w:ascii="宋体" w:hAnsi="宋体" w:cs="仿宋"/>
          <w:spacing w:val="6"/>
          <w:sz w:val="24"/>
          <w:highlight w:val="none"/>
        </w:rPr>
        <w:t>日止。</w:t>
      </w:r>
    </w:p>
    <w:p w14:paraId="3F9054E5">
      <w:pPr>
        <w:pStyle w:val="4"/>
        <w:spacing w:after="0" w:line="360" w:lineRule="auto"/>
        <w:ind w:firstLine="504" w:firstLineChars="200"/>
        <w:rPr>
          <w:rFonts w:ascii="宋体" w:hAnsi="宋体" w:cs="仿宋"/>
          <w:spacing w:val="6"/>
          <w:sz w:val="24"/>
          <w:highlight w:val="none"/>
        </w:rPr>
      </w:pPr>
      <w:r>
        <w:rPr>
          <w:rFonts w:hint="eastAsia" w:ascii="宋体" w:hAnsi="宋体" w:cs="仿宋"/>
          <w:spacing w:val="6"/>
          <w:sz w:val="24"/>
          <w:highlight w:val="none"/>
        </w:rPr>
        <w:t>服务地点：广州市内，甲方指定地点</w:t>
      </w:r>
    </w:p>
    <w:p w14:paraId="504DF232">
      <w:pPr>
        <w:pStyle w:val="4"/>
        <w:spacing w:before="120" w:beforeLines="50" w:afterLines="50" w:line="360" w:lineRule="auto"/>
        <w:rPr>
          <w:rFonts w:ascii="宋体" w:hAnsi="宋体" w:cs="仿宋"/>
          <w:b/>
          <w:bCs/>
          <w:spacing w:val="8"/>
          <w:sz w:val="24"/>
          <w:highlight w:val="none"/>
        </w:rPr>
      </w:pPr>
      <w:r>
        <w:rPr>
          <w:rFonts w:hint="eastAsia" w:ascii="宋体" w:hAnsi="宋体" w:cs="仿宋"/>
          <w:b/>
          <w:bCs/>
          <w:spacing w:val="8"/>
          <w:sz w:val="24"/>
          <w:highlight w:val="none"/>
        </w:rPr>
        <w:t>第四条  服务内容及要求</w:t>
      </w:r>
    </w:p>
    <w:p w14:paraId="09B7575E">
      <w:pPr>
        <w:numPr>
          <w:ilvl w:val="0"/>
          <w:numId w:val="0"/>
        </w:numPr>
        <w:spacing w:line="360" w:lineRule="auto"/>
        <w:ind w:firstLine="482" w:firstLineChars="200"/>
        <w:rPr>
          <w:rFonts w:hint="eastAsia" w:ascii="宋体" w:hAnsi="宋体" w:eastAsia="宋体" w:cs="宋体"/>
          <w:bCs/>
          <w:color w:val="auto"/>
          <w:sz w:val="24"/>
          <w:highlight w:val="none"/>
          <w:lang w:eastAsia="zh-CN"/>
        </w:rPr>
      </w:pPr>
      <w:r>
        <w:rPr>
          <w:rFonts w:hint="eastAsia" w:ascii="宋体" w:hAnsi="宋体" w:eastAsia="宋体" w:cs="宋体"/>
          <w:b/>
          <w:bCs w:val="0"/>
          <w:color w:val="auto"/>
          <w:sz w:val="24"/>
          <w:highlight w:val="none"/>
        </w:rPr>
        <w:t>（一）</w:t>
      </w:r>
      <w:r>
        <w:rPr>
          <w:rFonts w:hint="eastAsia" w:ascii="宋体" w:hAnsi="宋体" w:eastAsia="宋体" w:cs="宋体"/>
          <w:b/>
          <w:bCs w:val="0"/>
          <w:color w:val="auto"/>
          <w:sz w:val="24"/>
          <w:highlight w:val="none"/>
          <w:lang w:val="en-US" w:eastAsia="zh-CN"/>
        </w:rPr>
        <w:t>服务</w:t>
      </w:r>
      <w:r>
        <w:rPr>
          <w:rFonts w:hint="eastAsia" w:ascii="宋体" w:hAnsi="宋体" w:eastAsia="宋体" w:cs="宋体"/>
          <w:b/>
          <w:bCs w:val="0"/>
          <w:color w:val="auto"/>
          <w:sz w:val="24"/>
          <w:highlight w:val="none"/>
        </w:rPr>
        <w:t>内容</w:t>
      </w:r>
    </w:p>
    <w:p w14:paraId="20D3F968">
      <w:pPr>
        <w:pStyle w:val="4"/>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1.为提升</w:t>
      </w:r>
      <w:r>
        <w:rPr>
          <w:rFonts w:hint="eastAsia" w:ascii="宋体" w:hAnsi="宋体" w:eastAsia="宋体" w:cs="宋体"/>
          <w:color w:val="auto"/>
          <w:sz w:val="24"/>
          <w:szCs w:val="24"/>
          <w:highlight w:val="none"/>
          <w:lang w:val="en-US" w:eastAsia="zh-CN"/>
        </w:rPr>
        <w:t>夏园村区域</w:t>
      </w:r>
      <w:r>
        <w:rPr>
          <w:rFonts w:hint="eastAsia" w:ascii="宋体" w:hAnsi="宋体" w:eastAsia="宋体" w:cs="宋体"/>
          <w:color w:val="auto"/>
          <w:sz w:val="24"/>
          <w:szCs w:val="24"/>
          <w:highlight w:val="none"/>
          <w:lang w:eastAsia="zh-CN"/>
        </w:rPr>
        <w:t>车场管理水平，</w:t>
      </w:r>
      <w:r>
        <w:rPr>
          <w:rFonts w:hint="eastAsia" w:ascii="宋体" w:hAnsi="宋体" w:eastAsia="宋体" w:cs="宋体"/>
          <w:color w:val="auto"/>
          <w:sz w:val="24"/>
          <w:szCs w:val="24"/>
          <w:highlight w:val="none"/>
          <w:lang w:val="en-US" w:eastAsia="zh-CN"/>
        </w:rPr>
        <w:t>实现夏园村区域停车管理更有效管理，</w:t>
      </w:r>
      <w:r>
        <w:rPr>
          <w:rFonts w:hint="eastAsia" w:ascii="宋体" w:hAnsi="宋体" w:eastAsia="宋体" w:cs="宋体"/>
          <w:color w:val="auto"/>
          <w:sz w:val="24"/>
          <w:szCs w:val="24"/>
          <w:highlight w:val="none"/>
          <w:lang w:eastAsia="zh-CN"/>
        </w:rPr>
        <w:t>提高</w:t>
      </w:r>
      <w:r>
        <w:rPr>
          <w:rFonts w:hint="eastAsia" w:ascii="宋体" w:hAnsi="宋体" w:eastAsia="宋体" w:cs="宋体"/>
          <w:color w:val="auto"/>
          <w:sz w:val="24"/>
          <w:szCs w:val="24"/>
          <w:highlight w:val="none"/>
          <w:lang w:val="en-US" w:eastAsia="zh-CN"/>
        </w:rPr>
        <w:t>村民和</w:t>
      </w:r>
      <w:r>
        <w:rPr>
          <w:rFonts w:hint="eastAsia" w:ascii="宋体" w:hAnsi="宋体" w:eastAsia="宋体" w:cs="宋体"/>
          <w:color w:val="auto"/>
          <w:sz w:val="24"/>
          <w:szCs w:val="24"/>
          <w:highlight w:val="none"/>
          <w:lang w:eastAsia="zh-CN"/>
        </w:rPr>
        <w:t>车主通行体验，实现村车辆进出智能化管理，</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lang w:eastAsia="zh-CN"/>
        </w:rPr>
        <w:t>含</w:t>
      </w:r>
      <w:r>
        <w:rPr>
          <w:rFonts w:hint="eastAsia" w:ascii="宋体" w:hAnsi="宋体" w:eastAsia="宋体" w:cs="宋体"/>
          <w:color w:val="auto"/>
          <w:sz w:val="24"/>
          <w:szCs w:val="24"/>
          <w:highlight w:val="none"/>
          <w:lang w:val="en-US" w:eastAsia="zh-CN"/>
        </w:rPr>
        <w:t>6进7出共计13条车道</w:t>
      </w:r>
      <w:r>
        <w:rPr>
          <w:rFonts w:hint="eastAsia" w:ascii="宋体" w:hAnsi="宋体" w:eastAsia="宋体" w:cs="宋体"/>
          <w:color w:val="auto"/>
          <w:sz w:val="24"/>
          <w:szCs w:val="24"/>
          <w:highlight w:val="none"/>
          <w:lang w:eastAsia="zh-CN"/>
        </w:rPr>
        <w:t>停车场管理系统设备。</w:t>
      </w:r>
    </w:p>
    <w:p w14:paraId="3E14A718">
      <w:pPr>
        <w:pStyle w:val="4"/>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提供五年设备维保服务。</w:t>
      </w:r>
    </w:p>
    <w:p w14:paraId="19D8A391">
      <w:pPr>
        <w:pStyle w:val="4"/>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为提升车场管理水平，降低人力成本，提高车主通行体验，采购停车系统云托管平台，本次采购共涉及</w:t>
      </w:r>
      <w:r>
        <w:rPr>
          <w:rFonts w:hint="eastAsia" w:ascii="宋体" w:hAnsi="宋体" w:eastAsia="宋体" w:cs="宋体"/>
          <w:color w:val="auto"/>
          <w:sz w:val="24"/>
          <w:szCs w:val="24"/>
          <w:highlight w:val="none"/>
          <w:lang w:val="en-US" w:eastAsia="zh-CN"/>
        </w:rPr>
        <w:t>夏园村13</w:t>
      </w:r>
      <w:r>
        <w:rPr>
          <w:rFonts w:hint="eastAsia" w:ascii="宋体" w:hAnsi="宋体" w:eastAsia="宋体" w:cs="宋体"/>
          <w:color w:val="auto"/>
          <w:sz w:val="24"/>
          <w:szCs w:val="24"/>
          <w:highlight w:val="none"/>
          <w:lang w:eastAsia="zh-CN"/>
        </w:rPr>
        <w:t>条车道云托管服务。</w:t>
      </w:r>
    </w:p>
    <w:p w14:paraId="25B1DCB7">
      <w:pPr>
        <w:spacing w:line="360" w:lineRule="auto"/>
        <w:ind w:firstLine="482" w:firstLineChars="200"/>
        <w:rPr>
          <w:rFonts w:hint="eastAsia" w:ascii="宋体" w:hAnsi="宋体" w:eastAsia="宋体" w:cs="宋体"/>
          <w:b/>
          <w:color w:val="auto"/>
          <w:sz w:val="24"/>
          <w:szCs w:val="21"/>
          <w:highlight w:val="none"/>
          <w:lang w:val="en-US" w:eastAsia="zh-CN"/>
        </w:rPr>
      </w:pPr>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二</w:t>
      </w:r>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服务要求</w:t>
      </w:r>
    </w:p>
    <w:p w14:paraId="0C56DDCD">
      <w:pPr>
        <w:pStyle w:val="4"/>
        <w:spacing w:line="360" w:lineRule="auto"/>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1.本次采购无预付款，由中标单位免费投入设备并安装，采购人按月、半年、一年方式支付维保费用，维保期间除人为或自然灾害损害外的故障，由成交供应商维修或更换设备，不再收取其他费用。</w:t>
      </w:r>
    </w:p>
    <w:p w14:paraId="1138A537">
      <w:pPr>
        <w:pStyle w:val="4"/>
        <w:spacing w:line="360" w:lineRule="auto"/>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2.系统应具备高安全性、稳定性及合法性，厂家需具备央行颁发支付业务许可证并提供证明。</w:t>
      </w:r>
    </w:p>
    <w:p w14:paraId="4F69D782">
      <w:pPr>
        <w:pStyle w:val="4"/>
        <w:spacing w:line="360" w:lineRule="auto"/>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3.需提供系统平台具有资质的第三方检测机构出具的网络安全保护等级三级以上评测报告。</w:t>
      </w:r>
    </w:p>
    <w:p w14:paraId="15DE1B52">
      <w:pPr>
        <w:spacing w:line="360" w:lineRule="auto"/>
        <w:ind w:firstLine="504" w:firstLineChars="200"/>
        <w:rPr>
          <w:rFonts w:hint="default" w:ascii="宋体" w:hAnsi="宋体" w:eastAsia="宋体" w:cs="宋体"/>
          <w:color w:val="auto"/>
          <w:sz w:val="24"/>
          <w:szCs w:val="24"/>
          <w:highlight w:val="none"/>
          <w:lang w:val="en-US" w:eastAsia="zh-CN"/>
        </w:rPr>
      </w:pPr>
      <w:r>
        <w:rPr>
          <w:rFonts w:hint="eastAsia" w:ascii="宋体" w:hAnsi="宋体" w:eastAsia="宋体" w:cs="仿宋"/>
          <w:color w:val="auto"/>
          <w:spacing w:val="6"/>
          <w:sz w:val="24"/>
          <w:highlight w:val="none"/>
          <w:lang w:val="en-US" w:eastAsia="zh-CN"/>
        </w:rPr>
        <w:t>4.需提供清分结算系统平台具有资质的第三方检测机构出具的合格测试报告。</w:t>
      </w:r>
    </w:p>
    <w:p w14:paraId="21571CB1">
      <w:pPr>
        <w:pStyle w:val="4"/>
        <w:spacing w:before="120" w:beforeLines="50" w:afterLines="50" w:line="360" w:lineRule="auto"/>
        <w:rPr>
          <w:rFonts w:hint="eastAsia" w:ascii="宋体" w:hAnsi="宋体" w:eastAsia="宋体" w:cs="仿宋"/>
          <w:b/>
          <w:bCs/>
          <w:color w:val="auto"/>
          <w:spacing w:val="8"/>
          <w:sz w:val="24"/>
          <w:szCs w:val="20"/>
          <w:highlight w:val="none"/>
        </w:rPr>
      </w:pPr>
      <w:r>
        <w:rPr>
          <w:rFonts w:hint="eastAsia" w:ascii="宋体" w:hAnsi="宋体" w:eastAsia="宋体" w:cs="仿宋"/>
          <w:b/>
          <w:bCs/>
          <w:snapToGrid/>
          <w:color w:val="auto"/>
          <w:spacing w:val="8"/>
          <w:sz w:val="24"/>
          <w:szCs w:val="20"/>
          <w:highlight w:val="none"/>
          <w:lang w:val="en-US" w:eastAsia="zh-CN" w:bidi="ar-SA"/>
        </w:rPr>
        <w:t xml:space="preserve">第五条  </w:t>
      </w:r>
      <w:r>
        <w:rPr>
          <w:rFonts w:hint="eastAsia" w:ascii="宋体" w:hAnsi="宋体" w:eastAsia="宋体" w:cs="仿宋"/>
          <w:b/>
          <w:bCs/>
          <w:color w:val="auto"/>
          <w:spacing w:val="8"/>
          <w:sz w:val="24"/>
          <w:szCs w:val="20"/>
          <w:highlight w:val="none"/>
        </w:rPr>
        <w:t>系统技术要求</w:t>
      </w:r>
    </w:p>
    <w:p w14:paraId="76ACA211">
      <w:pPr>
        <w:widowControl w:val="0"/>
        <w:numPr>
          <w:ilvl w:val="0"/>
          <w:numId w:val="0"/>
        </w:numPr>
        <w:spacing w:line="360" w:lineRule="auto"/>
        <w:ind w:left="421" w:leftChars="0" w:firstLine="0" w:firstLineChars="0"/>
        <w:jc w:val="both"/>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snapToGrid w:val="0"/>
          <w:color w:val="auto"/>
          <w:sz w:val="24"/>
          <w:szCs w:val="24"/>
          <w:lang w:val="en-US" w:eastAsia="zh-CN" w:bidi="ar-SA"/>
        </w:rPr>
        <w:t>(一）</w:t>
      </w:r>
      <w:r>
        <w:rPr>
          <w:rFonts w:hint="eastAsia" w:ascii="宋体" w:hAnsi="宋体" w:eastAsia="宋体" w:cs="宋体"/>
          <w:b/>
          <w:bCs/>
          <w:color w:val="auto"/>
          <w:sz w:val="24"/>
          <w:szCs w:val="24"/>
          <w:highlight w:val="none"/>
          <w:lang w:val="en-US" w:eastAsia="zh-CN"/>
        </w:rPr>
        <w:t>停车场管理系统技术要求</w:t>
      </w:r>
    </w:p>
    <w:p w14:paraId="34DEFDF7">
      <w:pPr>
        <w:autoSpaceDE/>
        <w:autoSpaceDN/>
        <w:adjustRightInd/>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车场管理需要使用车辆快进快出的高效运转需求，对于不用的车辆具有不同的进出规则，收费方式，满足</w:t>
      </w:r>
      <w:r>
        <w:rPr>
          <w:rFonts w:hint="eastAsia" w:ascii="宋体" w:hAnsi="宋体" w:eastAsia="宋体" w:cs="宋体"/>
          <w:bCs/>
          <w:color w:val="auto"/>
          <w:sz w:val="24"/>
          <w:szCs w:val="24"/>
          <w:highlight w:val="none"/>
          <w:lang w:val="en-US" w:eastAsia="zh-CN"/>
        </w:rPr>
        <w:t>停</w:t>
      </w:r>
      <w:r>
        <w:rPr>
          <w:rFonts w:hint="eastAsia" w:ascii="宋体" w:hAnsi="宋体" w:eastAsia="宋体" w:cs="宋体"/>
          <w:bCs/>
          <w:color w:val="auto"/>
          <w:sz w:val="24"/>
          <w:szCs w:val="24"/>
          <w:highlight w:val="none"/>
        </w:rPr>
        <w:t>车场管理需求，同时尽量少使用保安人员参与进出管理的情况下，系统依然保持良好的通行体验。</w:t>
      </w:r>
    </w:p>
    <w:p w14:paraId="16A157C6">
      <w:pPr>
        <w:autoSpaceDE/>
        <w:autoSpaceDN/>
        <w:adjustRightInd/>
        <w:spacing w:line="360" w:lineRule="auto"/>
        <w:ind w:firstLine="480" w:firstLineChars="200"/>
        <w:jc w:val="both"/>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无人值守场景，系统需要进行无人值守，需支持：</w:t>
      </w:r>
    </w:p>
    <w:p w14:paraId="6D8B55CD">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1.1可视对讲</w:t>
      </w:r>
    </w:p>
    <w:p w14:paraId="48C6E496">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当面付</w:t>
      </w:r>
    </w:p>
    <w:p w14:paraId="0482CBCD">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入场动态二维码</w:t>
      </w:r>
    </w:p>
    <w:p w14:paraId="01CD044C">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出场动态二维码</w:t>
      </w:r>
    </w:p>
    <w:p w14:paraId="0868947F">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缴费动态二维码</w:t>
      </w:r>
    </w:p>
    <w:p w14:paraId="17115EE7">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无牌车扫码</w:t>
      </w:r>
    </w:p>
    <w:p w14:paraId="4341429B">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电子发票</w:t>
      </w:r>
    </w:p>
    <w:p w14:paraId="18662C8B">
      <w:pPr>
        <w:autoSpaceDE/>
        <w:autoSpaceDN/>
        <w:adjustRightInd/>
        <w:spacing w:line="360" w:lineRule="auto"/>
        <w:ind w:firstLine="480" w:firstLineChars="200"/>
        <w:jc w:val="both"/>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云坐席远程托管</w:t>
      </w:r>
    </w:p>
    <w:p w14:paraId="30E6E390">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为了减少人工成本及应对现场突发事件，系统需支持云坐席远程托管。需要具备专门的云坐席办公场所及人员。</w:t>
      </w:r>
    </w:p>
    <w:p w14:paraId="24F5756C">
      <w:pPr>
        <w:autoSpaceDE/>
        <w:autoSpaceDN/>
        <w:adjustRightInd/>
        <w:spacing w:line="360" w:lineRule="auto"/>
        <w:ind w:firstLine="480" w:firstLineChars="200"/>
        <w:jc w:val="both"/>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停车费打折优惠</w:t>
      </w:r>
    </w:p>
    <w:p w14:paraId="5AD05103">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3.1能设置不同的优惠方案，对应不同的停车费打折优惠方案</w:t>
      </w:r>
    </w:p>
    <w:p w14:paraId="53548D91">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3.2可以生成固定/动态二维码，由车主扫描后输入车牌自动减免。</w:t>
      </w:r>
    </w:p>
    <w:p w14:paraId="10B51996">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3.3具备减免记录查询、减免使用统计</w:t>
      </w:r>
    </w:p>
    <w:p w14:paraId="40179EBA">
      <w:pPr>
        <w:autoSpaceDE/>
        <w:autoSpaceDN/>
        <w:adjustRightInd/>
        <w:spacing w:line="360" w:lineRule="auto"/>
        <w:ind w:firstLine="480" w:firstLineChars="200"/>
        <w:jc w:val="both"/>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其他功能要求</w:t>
      </w:r>
    </w:p>
    <w:p w14:paraId="02C05217">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4.1系统支持锁车功能，被锁定车辆在未解锁情况下出场，系统自动报警；</w:t>
      </w:r>
    </w:p>
    <w:p w14:paraId="48916D56">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4.2系统支持自定义化的语音播报提示；</w:t>
      </w:r>
    </w:p>
    <w:p w14:paraId="5F2668ED">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4.3道闸断电，闸杆解除锁定，可手动抬起，保证车辆顺利出场；</w:t>
      </w:r>
    </w:p>
    <w:p w14:paraId="06905147">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4.4系统支持无人值守；</w:t>
      </w:r>
    </w:p>
    <w:p w14:paraId="4213E5CE">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4.5设备异常报警，当某个进出口设备发生故障，对应的工作站和服务器自动弹出报警界面，提醒工作人员迅速处理；</w:t>
      </w:r>
    </w:p>
    <w:p w14:paraId="4BFB0282">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4.6当设备与服务器脱机，月卡车以及免费车依旧可以进场，识别出场；网络恢复后车辆进出数据自动上传；</w:t>
      </w:r>
    </w:p>
    <w:p w14:paraId="0449F017">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4.7系统支持优惠打折功能（实现方式为网页/公众号或者APP）；</w:t>
      </w:r>
    </w:p>
    <w:p w14:paraId="69F81FE1">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4.8系统支持电子地图导航（包含但不限于百度，高德，腾讯）；</w:t>
      </w:r>
    </w:p>
    <w:p w14:paraId="0CD2E2B7">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4.9系统具备完善的报表统计功能，并可以根据某一个或多个维度一键导出（包括车内车辆，缴费明细，异常事件等等）；</w:t>
      </w:r>
    </w:p>
    <w:p w14:paraId="295F6D6C">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4.10系统必须配备完善的使用说明及操作指引，设备供应厂家要对使用者做好培训和指导工作。</w:t>
      </w:r>
    </w:p>
    <w:p w14:paraId="420FB682">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4.11系统预留标准的API接口，方便以后系统对接和扩展；</w:t>
      </w:r>
    </w:p>
    <w:p w14:paraId="4F905072">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4.12具备后续接入</w:t>
      </w:r>
      <w:r>
        <w:rPr>
          <w:rFonts w:hint="eastAsia" w:ascii="宋体" w:hAnsi="宋体" w:eastAsia="宋体" w:cs="宋体"/>
          <w:bCs/>
          <w:color w:val="auto"/>
          <w:sz w:val="24"/>
          <w:szCs w:val="24"/>
          <w:highlight w:val="none"/>
          <w:lang w:val="en-US" w:eastAsia="zh-CN"/>
        </w:rPr>
        <w:t>新能源充电桩</w:t>
      </w:r>
      <w:r>
        <w:rPr>
          <w:rFonts w:hint="eastAsia" w:ascii="宋体" w:hAnsi="宋体" w:eastAsia="宋体" w:cs="宋体"/>
          <w:bCs/>
          <w:color w:val="auto"/>
          <w:sz w:val="24"/>
          <w:szCs w:val="24"/>
          <w:highlight w:val="none"/>
        </w:rPr>
        <w:t>系统的能力。</w:t>
      </w:r>
    </w:p>
    <w:p w14:paraId="30EB7DCF">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4.13支持特殊车牌识别（新能源车牌、港澳车牌、军警车牌等）；</w:t>
      </w:r>
    </w:p>
    <w:p w14:paraId="3D2754CA">
      <w:pPr>
        <w:autoSpaceDE/>
        <w:autoSpaceDN/>
        <w:adjustRightInd/>
        <w:spacing w:line="360" w:lineRule="auto"/>
        <w:ind w:firstLine="840" w:firstLineChars="35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4.14系统设备必须使用license方式认证；</w:t>
      </w:r>
    </w:p>
    <w:p w14:paraId="51CEC8EB">
      <w:pPr>
        <w:autoSpaceDE/>
        <w:autoSpaceDN/>
        <w:adjustRightInd/>
        <w:spacing w:line="360" w:lineRule="auto"/>
        <w:ind w:firstLine="840" w:firstLineChars="35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rPr>
        <w:t>4.15车牌识别率：≧99.5%。</w:t>
      </w:r>
    </w:p>
    <w:p w14:paraId="5752137D">
      <w:pPr>
        <w:spacing w:line="360" w:lineRule="auto"/>
        <w:ind w:firstLine="482" w:firstLineChars="200"/>
        <w:outlineLvl w:val="9"/>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云托管系统平台</w:t>
      </w:r>
    </w:p>
    <w:p w14:paraId="4FA33CA8">
      <w:pPr>
        <w:autoSpaceDE/>
        <w:autoSpaceDN/>
        <w:adjustRightInd/>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无人化停车场，云端可以管理、设备运维、授权等、财务对账（二次对账、财务稽核、监管资金）、报表中心（日报、月报、年报、异常分析、经营情况分析，监管收益等）等能力。</w:t>
      </w:r>
    </w:p>
    <w:p w14:paraId="760CF876">
      <w:pPr>
        <w:pStyle w:val="3"/>
        <w:numPr>
          <w:ilvl w:val="0"/>
          <w:numId w:val="0"/>
        </w:numPr>
        <w:spacing w:line="360" w:lineRule="auto"/>
        <w:ind w:left="589" w:leftChars="200" w:hanging="169" w:hangingChars="70"/>
        <w:outlineLvl w:val="9"/>
        <w:rPr>
          <w:rFonts w:hint="eastAsia" w:ascii="宋体" w:hAnsi="宋体" w:eastAsia="宋体" w:cs="宋体"/>
          <w:color w:val="auto"/>
          <w:sz w:val="24"/>
          <w:szCs w:val="24"/>
          <w:highlight w:val="none"/>
        </w:rPr>
      </w:pPr>
      <w:r>
        <w:rPr>
          <w:rFonts w:hint="eastAsia" w:ascii="宋体" w:hAnsi="宋体" w:eastAsia="宋体" w:cs="宋体"/>
          <w:b/>
          <w:color w:val="auto"/>
          <w:kern w:val="2"/>
          <w:sz w:val="24"/>
          <w:szCs w:val="24"/>
          <w:highlight w:val="none"/>
          <w:lang w:val="en-US" w:eastAsia="zh-CN" w:bidi="ar-SA"/>
        </w:rPr>
        <w:t>（1）</w:t>
      </w:r>
      <w:r>
        <w:rPr>
          <w:rFonts w:hint="eastAsia" w:ascii="宋体" w:hAnsi="宋体" w:eastAsia="宋体" w:cs="宋体"/>
          <w:color w:val="auto"/>
          <w:sz w:val="24"/>
          <w:szCs w:val="24"/>
          <w:highlight w:val="none"/>
        </w:rPr>
        <w:t>云端坐席子系统</w:t>
      </w:r>
    </w:p>
    <w:p w14:paraId="15C9E855">
      <w:pPr>
        <w:autoSpaceDE/>
        <w:autoSpaceDN/>
        <w:adjustRightInd/>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系统由</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提供云端坐席服务</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云端坐席服务主要包含车牌二次识别、车牌纠错、远程双向对讲、远程开闸、异常处理、远程关闸等。</w:t>
      </w:r>
    </w:p>
    <w:p w14:paraId="77B28360">
      <w:pPr>
        <w:autoSpaceDE/>
        <w:autoSpaceDN/>
        <w:adjustRightInd/>
        <w:spacing w:line="360" w:lineRule="auto"/>
        <w:ind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远程开闸：可通过坐席端对非常规车辆（如垃圾车）软件开闸放行。</w:t>
      </w:r>
    </w:p>
    <w:p w14:paraId="7D36505E">
      <w:pPr>
        <w:autoSpaceDE/>
        <w:autoSpaceDN/>
        <w:adjustRightInd/>
        <w:spacing w:line="360" w:lineRule="auto"/>
        <w:ind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呼叫对讲：前端设备可直接呼叫到坐席中心，与云端坐席中心进行音视频交互。</w:t>
      </w:r>
    </w:p>
    <w:p w14:paraId="3146D006">
      <w:pPr>
        <w:autoSpaceDE/>
        <w:autoSpaceDN/>
        <w:adjustRightInd/>
        <w:spacing w:line="360" w:lineRule="auto"/>
        <w:ind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系统自动触发对讲：当前端异常事件（如杆未落、车辆在出入口超过一定时间未离开）系统自动触发到前端设备和坐席中心，进行音视频交互。</w:t>
      </w:r>
    </w:p>
    <w:p w14:paraId="13E8F429">
      <w:pPr>
        <w:autoSpaceDE/>
        <w:autoSpaceDN/>
        <w:adjustRightInd/>
        <w:spacing w:line="360" w:lineRule="auto"/>
        <w:ind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多任务触发：当多个任务同时发生，系统支持任务池，按照等待时长依次处理；</w:t>
      </w:r>
    </w:p>
    <w:p w14:paraId="42770347">
      <w:pPr>
        <w:autoSpaceDE/>
        <w:autoSpaceDN/>
        <w:adjustRightInd/>
        <w:spacing w:line="360" w:lineRule="auto"/>
        <w:ind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坐席日常处理：坐席可以对前端系统的车牌进行矫正、查询场内车辆等；</w:t>
      </w:r>
    </w:p>
    <w:p w14:paraId="489EEAEB">
      <w:pPr>
        <w:autoSpaceDE/>
        <w:autoSpaceDN/>
        <w:adjustRightInd/>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支持平台云坐席总览：以地图形式展示全国各市级产生坐席事件的情况，以及对应的项目数，处理待处理情况，在线，挂起，休班人数，最近一个礼拜的坐席事件趋势，以及未完成事件列表。（如响应，则此功能做为验收依据）</w:t>
      </w:r>
    </w:p>
    <w:p w14:paraId="66BE020E">
      <w:pPr>
        <w:autoSpaceDE/>
        <w:autoSpaceDN/>
        <w:adjustRightInd/>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支持座席人员个人数据总览：展示个人处理的事件总数及列表，平均处理时长，各时段处理的趋势，近一个月处理的趋势，各个事件类型的占比情况。（如响应，则此功能做为验收依据）</w:t>
      </w:r>
    </w:p>
    <w:p w14:paraId="37981F57">
      <w:pPr>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需提供云托管系统平台具有资质的第三方检测机构出具的网络安全保护等级三级以上评测报告。</w:t>
      </w:r>
    </w:p>
    <w:p w14:paraId="064BF64C">
      <w:pPr>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需提供清分结算系统平台具有资质的第三方检测机构出具的合格测试报告。</w:t>
      </w:r>
    </w:p>
    <w:p w14:paraId="1F5D737B">
      <w:pPr>
        <w:pStyle w:val="3"/>
        <w:spacing w:line="360" w:lineRule="auto"/>
        <w:ind w:left="589" w:leftChars="200" w:hanging="169" w:hangingChars="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移动岗亭系统</w:t>
      </w:r>
    </w:p>
    <w:p w14:paraId="17560D02">
      <w:pPr>
        <w:autoSpaceDE/>
        <w:autoSpaceDN/>
        <w:adjustRightInd/>
        <w:spacing w:line="360" w:lineRule="auto"/>
        <w:ind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提供巡逻岗（APP+PDA、移动巡逻功能，对特殊事件云座席，第一时间通知巡逻岗到现场协调应急处理）.</w:t>
      </w:r>
    </w:p>
    <w:p w14:paraId="43FCCCB8">
      <w:pPr>
        <w:autoSpaceDE/>
        <w:autoSpaceDN/>
        <w:adjustRightInd/>
        <w:spacing w:line="360" w:lineRule="auto"/>
        <w:ind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巡逻岗可通过移动端实现拍照入场、出场，车牌矫正、收费等操作。</w:t>
      </w:r>
    </w:p>
    <w:p w14:paraId="5B731009">
      <w:pPr>
        <w:pStyle w:val="3"/>
        <w:spacing w:line="360" w:lineRule="auto"/>
        <w:ind w:left="589" w:leftChars="200" w:hanging="169" w:hangingChars="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商业运营子系统</w:t>
      </w:r>
    </w:p>
    <w:p w14:paraId="4D839BDB">
      <w:pPr>
        <w:autoSpaceDE/>
        <w:autoSpaceDN/>
        <w:adjustRightInd/>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系统需提供运营服务功能，包含错峰停车、优惠打折等功能。</w:t>
      </w:r>
    </w:p>
    <w:p w14:paraId="7006FACE">
      <w:pPr>
        <w:pStyle w:val="3"/>
        <w:spacing w:line="360" w:lineRule="auto"/>
        <w:ind w:left="589" w:leftChars="200" w:hanging="169" w:hangingChars="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其他要求</w:t>
      </w:r>
    </w:p>
    <w:p w14:paraId="2899D2EA">
      <w:pPr>
        <w:autoSpaceDE/>
        <w:autoSpaceDN/>
        <w:adjustRightInd/>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1.乙方</w:t>
      </w:r>
      <w:r>
        <w:rPr>
          <w:rFonts w:hint="eastAsia" w:ascii="宋体" w:hAnsi="宋体" w:eastAsia="宋体" w:cs="宋体"/>
          <w:bCs/>
          <w:color w:val="auto"/>
          <w:sz w:val="24"/>
          <w:szCs w:val="24"/>
          <w:highlight w:val="none"/>
        </w:rPr>
        <w:t>需在</w:t>
      </w:r>
      <w:r>
        <w:rPr>
          <w:rFonts w:hint="eastAsia" w:ascii="宋体" w:hAnsi="宋体" w:eastAsia="宋体" w:cs="宋体"/>
          <w:bCs/>
          <w:color w:val="auto"/>
          <w:sz w:val="24"/>
          <w:szCs w:val="24"/>
          <w:highlight w:val="none"/>
          <w:lang w:eastAsia="zh-CN"/>
        </w:rPr>
        <w:t>黄埔</w:t>
      </w:r>
      <w:r>
        <w:rPr>
          <w:rFonts w:hint="eastAsia" w:ascii="宋体" w:hAnsi="宋体" w:eastAsia="宋体" w:cs="宋体"/>
          <w:bCs/>
          <w:color w:val="auto"/>
          <w:sz w:val="24"/>
          <w:szCs w:val="24"/>
          <w:highlight w:val="none"/>
        </w:rPr>
        <w:t>区地区设立办公场所。</w:t>
      </w:r>
    </w:p>
    <w:p w14:paraId="22CB9723">
      <w:pPr>
        <w:autoSpaceDE/>
        <w:autoSpaceDN/>
        <w:adjustRightInd/>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云托管平台需设置客服岗、运维岗、车牌纠错岗3个岗位24小时值班，值班在岗人数不少于10人。</w:t>
      </w:r>
    </w:p>
    <w:p w14:paraId="2A28F561">
      <w:pPr>
        <w:autoSpaceDE/>
        <w:autoSpaceDN/>
        <w:adjustRightInd/>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系统需支持三重识别：包括前端识别、AI云端纠错、后台人工矫正等三重识别机制，车牌识别率达到99.9%。</w:t>
      </w:r>
    </w:p>
    <w:p w14:paraId="4F5AA0FC">
      <w:pPr>
        <w:autoSpaceDE/>
        <w:autoSpaceDN/>
        <w:adjustRightInd/>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系统需支持后台主动和被动可视对讲功能，系统检测到车辆停留时间过长且无支付动作，客服15内内主动呼入，由后台岗位快速处理放行。</w:t>
      </w:r>
    </w:p>
    <w:p w14:paraId="358F9814">
      <w:pPr>
        <w:autoSpaceDE/>
        <w:autoSpaceDN/>
        <w:adjustRightInd/>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后台客服实时在线，接到协助请求10秒内响应。</w:t>
      </w:r>
    </w:p>
    <w:p w14:paraId="13B61095">
      <w:pPr>
        <w:autoSpaceDE/>
        <w:autoSpaceDN/>
        <w:adjustRightInd/>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具备移动岗亭应急功能，应对停电断网突发事件，通过app拍照识别完成计费开闸，保持记录完整性，减少后期数据整理工作。</w:t>
      </w:r>
    </w:p>
    <w:p w14:paraId="1502E3BC">
      <w:pPr>
        <w:spacing w:line="240" w:lineRule="auto"/>
        <w:ind w:firstLine="440" w:firstLineChars="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云托管平台服务内容和功能清单</w:t>
      </w:r>
      <w:r>
        <w:rPr>
          <w:rFonts w:hint="eastAsia" w:ascii="宋体" w:hAnsi="宋体" w:eastAsia="宋体" w:cs="仿宋"/>
          <w:color w:val="auto"/>
          <w:spacing w:val="6"/>
          <w:sz w:val="24"/>
          <w:highlight w:val="none"/>
          <w:lang w:val="en-US" w:eastAsia="zh-CN"/>
        </w:rPr>
        <w:t>详见附表一</w:t>
      </w:r>
    </w:p>
    <w:p w14:paraId="4D03FCDF">
      <w:pPr>
        <w:pStyle w:val="4"/>
        <w:numPr>
          <w:ilvl w:val="0"/>
          <w:numId w:val="0"/>
        </w:numPr>
        <w:spacing w:before="120" w:beforeLines="50" w:afterLines="50" w:line="360" w:lineRule="auto"/>
        <w:rPr>
          <w:rFonts w:hint="default" w:ascii="宋体" w:hAnsi="宋体" w:eastAsia="宋体" w:cs="仿宋"/>
          <w:b/>
          <w:bCs/>
          <w:snapToGrid/>
          <w:color w:val="auto"/>
          <w:spacing w:val="8"/>
          <w:kern w:val="2"/>
          <w:sz w:val="24"/>
          <w:szCs w:val="20"/>
          <w:highlight w:val="none"/>
          <w:lang w:val="en-US" w:eastAsia="zh-CN" w:bidi="ar-SA"/>
        </w:rPr>
      </w:pPr>
      <w:r>
        <w:rPr>
          <w:rFonts w:hint="eastAsia" w:ascii="宋体" w:hAnsi="宋体" w:eastAsia="宋体" w:cs="仿宋"/>
          <w:b/>
          <w:bCs/>
          <w:snapToGrid/>
          <w:color w:val="auto"/>
          <w:spacing w:val="8"/>
          <w:kern w:val="2"/>
          <w:sz w:val="24"/>
          <w:szCs w:val="20"/>
          <w:highlight w:val="none"/>
          <w:lang w:val="en-US" w:eastAsia="zh-CN" w:bidi="ar-SA"/>
        </w:rPr>
        <w:t>第六条  设备参数要求详见采购需求</w:t>
      </w:r>
    </w:p>
    <w:p w14:paraId="42CD4D60">
      <w:pPr>
        <w:pStyle w:val="4"/>
        <w:numPr>
          <w:ilvl w:val="0"/>
          <w:numId w:val="0"/>
        </w:numPr>
        <w:spacing w:before="120" w:beforeLines="50" w:afterLines="50" w:line="360" w:lineRule="auto"/>
        <w:rPr>
          <w:rFonts w:hint="default" w:ascii="宋体" w:hAnsi="宋体" w:eastAsia="宋体" w:cs="仿宋"/>
          <w:b/>
          <w:bCs/>
          <w:spacing w:val="8"/>
          <w:sz w:val="24"/>
          <w:highlight w:val="none"/>
          <w:lang w:val="en-US" w:eastAsia="zh-CN"/>
        </w:rPr>
      </w:pPr>
      <w:r>
        <w:rPr>
          <w:rFonts w:hint="eastAsia" w:ascii="宋体" w:hAnsi="宋体" w:eastAsia="宋体" w:cs="仿宋"/>
          <w:b/>
          <w:bCs/>
          <w:spacing w:val="8"/>
          <w:sz w:val="24"/>
          <w:highlight w:val="none"/>
          <w:lang w:val="en-US" w:eastAsia="zh-CN"/>
        </w:rPr>
        <w:t>第七条  付款方式</w:t>
      </w:r>
    </w:p>
    <w:p w14:paraId="7D7D856C">
      <w:p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由乙方先投入设备并安装，甲方按月、半年、一年方式支付维保费用，</w:t>
      </w:r>
    </w:p>
    <w:p w14:paraId="25EBF41C">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lang w:val="en-US" w:eastAsia="zh-CN"/>
        </w:rPr>
        <w:t>1.</w:t>
      </w:r>
      <w:r>
        <w:rPr>
          <w:rFonts w:hint="eastAsia" w:ascii="宋体" w:hAnsi="宋体" w:cs="仿宋"/>
          <w:spacing w:val="6"/>
          <w:sz w:val="24"/>
          <w:highlight w:val="none"/>
        </w:rPr>
        <w:t>乙方收款账户的开户银行名称信息</w:t>
      </w:r>
    </w:p>
    <w:p w14:paraId="0407ADE2">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rPr>
        <w:t>开户名称：</w:t>
      </w:r>
    </w:p>
    <w:p w14:paraId="2C4914DF">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rPr>
        <w:t>银行账号：</w:t>
      </w:r>
    </w:p>
    <w:p w14:paraId="1E47F385">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rPr>
        <w:t>开户行：</w:t>
      </w:r>
    </w:p>
    <w:p w14:paraId="4EA0C058">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lang w:val="en-US" w:eastAsia="zh-CN"/>
        </w:rPr>
        <w:t>2.</w:t>
      </w:r>
      <w:r>
        <w:rPr>
          <w:rFonts w:hint="eastAsia" w:ascii="宋体" w:hAnsi="宋体" w:cs="仿宋"/>
          <w:spacing w:val="6"/>
          <w:sz w:val="24"/>
          <w:highlight w:val="none"/>
        </w:rPr>
        <w:t>在汇款过程中，因乙方账户的原因（包括但不限于账号被注销、被冻结、乙方收款账户信息有变更但未在当天书面通知甲方或通知有误等）导致其无法收取款项的，由乙方承担相应后果。</w:t>
      </w:r>
    </w:p>
    <w:p w14:paraId="12DFCFDD">
      <w:pPr>
        <w:pStyle w:val="4"/>
        <w:spacing w:before="120" w:beforeLines="50" w:afterLines="50" w:line="360" w:lineRule="auto"/>
        <w:rPr>
          <w:rFonts w:hint="eastAsia" w:ascii="宋体" w:hAnsi="宋体" w:cs="仿宋"/>
          <w:b/>
          <w:bCs/>
          <w:spacing w:val="8"/>
          <w:sz w:val="24"/>
          <w:highlight w:val="none"/>
        </w:rPr>
      </w:pPr>
      <w:r>
        <w:rPr>
          <w:rFonts w:hint="eastAsia" w:ascii="宋体" w:hAnsi="宋体" w:cs="仿宋"/>
          <w:b/>
          <w:bCs/>
          <w:spacing w:val="8"/>
          <w:sz w:val="24"/>
          <w:highlight w:val="none"/>
          <w:lang w:eastAsia="zh-CN"/>
        </w:rPr>
        <w:t>第六条  甲乙双方的权利和义务</w:t>
      </w:r>
    </w:p>
    <w:p w14:paraId="6515B94E">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rPr>
        <w:t>（一）甲方的权利和义务</w:t>
      </w:r>
    </w:p>
    <w:p w14:paraId="560F3F48">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rPr>
        <w:t>1.甲方有权要求乙方执行安全防范措施和规章制度。</w:t>
      </w:r>
    </w:p>
    <w:p w14:paraId="3BAA6750">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rPr>
        <w:t>2.甲方有权检查监督乙方日常工作制度的执行情况，乙方必须积极配合，如发现并指出乙方的服务违反合同约定，乙方应及时整改。</w:t>
      </w:r>
    </w:p>
    <w:p w14:paraId="7B40C8A7">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rPr>
        <w:t>3.甲方有权对乙方的服务质量进行考评，未能完成服务内容、未达到服务要求的，乙方要及时进行整改，如乙方未按要求和期限整改，或整改措施无法达到管理目标的，甲方有权待乙方完成整改后支付当期服务费；乙方未按甲方要求和期限整改，或整改措施无法达到甲方管理目标的，甲方有权视情况扣除一定服务费直至合同解除或直接解除合同，乙方应向甲方支付总服务费</w:t>
      </w:r>
      <w:r>
        <w:rPr>
          <w:rFonts w:hint="eastAsia" w:ascii="宋体" w:hAnsi="宋体" w:cs="仿宋"/>
          <w:spacing w:val="8"/>
          <w:sz w:val="24"/>
          <w:highlight w:val="none"/>
          <w:u w:val="single"/>
        </w:rPr>
        <w:t>3</w:t>
      </w:r>
      <w:r>
        <w:rPr>
          <w:rFonts w:hint="eastAsia" w:ascii="宋体" w:hAnsi="宋体" w:cs="仿宋"/>
          <w:spacing w:val="8"/>
          <w:sz w:val="24"/>
          <w:highlight w:val="none"/>
        </w:rPr>
        <w:t>%的违约金并赔偿由此给甲方造成的损失。</w:t>
      </w:r>
    </w:p>
    <w:p w14:paraId="3F72616B">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rPr>
        <w:t>4.甲方对乙方的考评结果，应由甲乙双方签字确认，乙方无正当理由不签字确认的，不影响甲方根据考评结果核减合同费用。</w:t>
      </w:r>
    </w:p>
    <w:p w14:paraId="0E7AAB8B">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rPr>
        <w:t>5.甲方有权查阅乙方日常管理中的交接班、请（休）假等备案记录。</w:t>
      </w:r>
    </w:p>
    <w:p w14:paraId="42E63800">
      <w:pPr>
        <w:pStyle w:val="4"/>
        <w:spacing w:after="0" w:line="360" w:lineRule="auto"/>
        <w:ind w:firstLine="512" w:firstLineChars="200"/>
        <w:rPr>
          <w:rFonts w:hint="eastAsia" w:ascii="宋体" w:hAnsi="宋体" w:eastAsia="宋体" w:cs="仿宋"/>
          <w:spacing w:val="8"/>
          <w:sz w:val="24"/>
          <w:highlight w:val="none"/>
          <w:lang w:eastAsia="zh-CN"/>
        </w:rPr>
      </w:pPr>
      <w:r>
        <w:rPr>
          <w:rFonts w:hint="eastAsia" w:ascii="宋体" w:hAnsi="宋体" w:cs="仿宋"/>
          <w:spacing w:val="8"/>
          <w:sz w:val="24"/>
          <w:highlight w:val="none"/>
        </w:rPr>
        <w:t>6.甲方应遵守合同约定按时向乙方支付服务费</w:t>
      </w:r>
      <w:r>
        <w:rPr>
          <w:rFonts w:hint="eastAsia" w:ascii="宋体" w:hAnsi="宋体" w:cs="仿宋"/>
          <w:spacing w:val="8"/>
          <w:sz w:val="24"/>
          <w:highlight w:val="none"/>
          <w:lang w:eastAsia="zh-CN"/>
        </w:rPr>
        <w:t>。</w:t>
      </w:r>
    </w:p>
    <w:p w14:paraId="0738E183">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lang w:val="en-US" w:eastAsia="zh-CN"/>
        </w:rPr>
        <w:t>7.</w:t>
      </w:r>
      <w:r>
        <w:rPr>
          <w:rFonts w:hint="eastAsia" w:ascii="宋体" w:hAnsi="宋体" w:cs="仿宋"/>
          <w:spacing w:val="8"/>
          <w:sz w:val="24"/>
          <w:highlight w:val="none"/>
        </w:rPr>
        <w:t>如因法律或政策发生变化，导致本合同的履行成为不必要时，甲方有权终止合同。但甲方应当根据乙方已经完成的工作量支付服务费。</w:t>
      </w:r>
    </w:p>
    <w:p w14:paraId="737E4EA4">
      <w:pPr>
        <w:pStyle w:val="4"/>
        <w:spacing w:after="0" w:line="360" w:lineRule="auto"/>
        <w:ind w:firstLine="512" w:firstLineChars="200"/>
        <w:rPr>
          <w:rFonts w:hint="eastAsia" w:ascii="宋体" w:hAnsi="宋体" w:cs="仿宋"/>
          <w:spacing w:val="8"/>
          <w:sz w:val="24"/>
          <w:highlight w:val="none"/>
        </w:rPr>
      </w:pPr>
      <w:r>
        <w:rPr>
          <w:rFonts w:hint="eastAsia" w:ascii="宋体" w:hAnsi="宋体" w:eastAsia="宋体" w:cs="仿宋"/>
          <w:spacing w:val="8"/>
          <w:sz w:val="24"/>
          <w:highlight w:val="none"/>
        </w:rPr>
        <w:t>（</w:t>
      </w:r>
      <w:r>
        <w:rPr>
          <w:rFonts w:hint="eastAsia" w:ascii="宋体" w:hAnsi="宋体" w:eastAsia="宋体" w:cs="仿宋"/>
          <w:spacing w:val="8"/>
          <w:sz w:val="24"/>
          <w:highlight w:val="none"/>
          <w:lang w:eastAsia="zh-CN"/>
        </w:rPr>
        <w:t>二</w:t>
      </w:r>
      <w:r>
        <w:rPr>
          <w:rFonts w:hint="eastAsia" w:ascii="宋体" w:hAnsi="宋体" w:eastAsia="宋体" w:cs="仿宋"/>
          <w:spacing w:val="8"/>
          <w:sz w:val="24"/>
          <w:highlight w:val="none"/>
        </w:rPr>
        <w:t>）乙方的权利与义务</w:t>
      </w:r>
    </w:p>
    <w:p w14:paraId="25F7C87B">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lang w:val="en-US" w:eastAsia="zh-CN"/>
        </w:rPr>
        <w:t>1.</w:t>
      </w:r>
      <w:r>
        <w:rPr>
          <w:rFonts w:hint="eastAsia" w:ascii="宋体" w:hAnsi="宋体" w:cs="仿宋"/>
          <w:spacing w:val="8"/>
          <w:sz w:val="24"/>
          <w:highlight w:val="none"/>
        </w:rPr>
        <w:t>乙方应当按照本合同的约定提供优质服务，保证其提交的服务成果符合采购文件的要求，以及投标（或响应）文件的承诺，并且符合行业技术规范和技术标准的要求。</w:t>
      </w:r>
    </w:p>
    <w:p w14:paraId="5D0DA08D">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lang w:val="en-US" w:eastAsia="zh-CN"/>
        </w:rPr>
        <w:t>2.</w:t>
      </w:r>
      <w:r>
        <w:rPr>
          <w:rFonts w:hint="eastAsia" w:ascii="宋体" w:hAnsi="宋体" w:cs="仿宋"/>
          <w:spacing w:val="8"/>
          <w:sz w:val="24"/>
          <w:highlight w:val="none"/>
        </w:rPr>
        <w:t>乙方在履行合同的过程中，需要甲方提供协助的，应当及时提出。</w:t>
      </w:r>
    </w:p>
    <w:p w14:paraId="294B9089">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lang w:val="en-US" w:eastAsia="zh-CN"/>
        </w:rPr>
        <w:t>3.</w:t>
      </w:r>
      <w:r>
        <w:rPr>
          <w:rFonts w:hint="eastAsia" w:ascii="宋体" w:hAnsi="宋体" w:cs="仿宋"/>
          <w:spacing w:val="8"/>
          <w:sz w:val="24"/>
          <w:highlight w:val="none"/>
        </w:rPr>
        <w:t>乙方应当就委托事项进行全面、细致的调查和分析，提出先进、科学、可行的对策和建议。（提示：决策类和含咨询内容的项目应当加上本条款，其他项目根据实际情况自行决定是否增加）</w:t>
      </w:r>
    </w:p>
    <w:p w14:paraId="562E41E7">
      <w:pPr>
        <w:pStyle w:val="4"/>
        <w:spacing w:after="0" w:line="360" w:lineRule="auto"/>
        <w:ind w:firstLine="512" w:firstLineChars="200"/>
        <w:rPr>
          <w:rFonts w:hint="eastAsia" w:ascii="宋体" w:hAnsi="宋体" w:eastAsia="宋体" w:cs="仿宋"/>
          <w:color w:val="auto"/>
          <w:spacing w:val="8"/>
          <w:sz w:val="24"/>
          <w:highlight w:val="none"/>
          <w:lang w:eastAsia="zh-CN"/>
        </w:rPr>
      </w:pPr>
      <w:r>
        <w:rPr>
          <w:rFonts w:hint="eastAsia" w:ascii="宋体" w:hAnsi="宋体" w:cs="仿宋"/>
          <w:color w:val="auto"/>
          <w:spacing w:val="8"/>
          <w:sz w:val="24"/>
          <w:highlight w:val="none"/>
          <w:lang w:val="en-US" w:eastAsia="zh-CN"/>
        </w:rPr>
        <w:t>4.</w:t>
      </w:r>
      <w:r>
        <w:rPr>
          <w:rFonts w:hint="eastAsia" w:ascii="宋体" w:hAnsi="宋体" w:cs="仿宋"/>
          <w:color w:val="auto"/>
          <w:spacing w:val="8"/>
          <w:sz w:val="24"/>
          <w:highlight w:val="none"/>
        </w:rPr>
        <w:t>乙方应根据甲方的意见和建议修正或完</w:t>
      </w:r>
      <w:r>
        <w:rPr>
          <w:rFonts w:hint="eastAsia" w:ascii="宋体" w:hAnsi="宋体" w:eastAsia="宋体" w:cs="仿宋"/>
          <w:color w:val="auto"/>
          <w:spacing w:val="8"/>
          <w:sz w:val="24"/>
          <w:highlight w:val="none"/>
        </w:rPr>
        <w:t>善服务内容</w:t>
      </w:r>
      <w:r>
        <w:rPr>
          <w:rFonts w:hint="eastAsia" w:ascii="宋体" w:hAnsi="宋体" w:eastAsia="宋体" w:cs="仿宋"/>
          <w:color w:val="auto"/>
          <w:spacing w:val="8"/>
          <w:sz w:val="24"/>
          <w:highlight w:val="none"/>
          <w:lang w:eastAsia="zh-CN"/>
        </w:rPr>
        <w:t>。</w:t>
      </w:r>
    </w:p>
    <w:p w14:paraId="5016DA69">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lang w:val="en-US" w:eastAsia="zh-CN"/>
        </w:rPr>
        <w:t>5.</w:t>
      </w:r>
      <w:r>
        <w:rPr>
          <w:rFonts w:hint="eastAsia" w:ascii="宋体" w:hAnsi="宋体" w:cs="仿宋"/>
          <w:spacing w:val="8"/>
          <w:sz w:val="24"/>
          <w:highlight w:val="none"/>
        </w:rPr>
        <w:t>乙方应当按照甲方要求如实陈述项目工作的进展情况，并应提供相应的说明材料。</w:t>
      </w:r>
    </w:p>
    <w:p w14:paraId="7831F9C1">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lang w:val="en-US" w:eastAsia="zh-CN"/>
        </w:rPr>
        <w:t>6.</w:t>
      </w:r>
      <w:r>
        <w:rPr>
          <w:rFonts w:hint="eastAsia" w:ascii="宋体" w:hAnsi="宋体" w:cs="仿宋"/>
          <w:spacing w:val="8"/>
          <w:sz w:val="24"/>
          <w:highlight w:val="none"/>
        </w:rPr>
        <w:t>乙方应按照合同约定承担保密义务。</w:t>
      </w:r>
    </w:p>
    <w:p w14:paraId="70231A73">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lang w:val="en-US" w:eastAsia="zh-CN"/>
        </w:rPr>
        <w:t>7.</w:t>
      </w:r>
      <w:r>
        <w:rPr>
          <w:rFonts w:hint="eastAsia" w:ascii="宋体" w:hAnsi="宋体" w:cs="仿宋"/>
          <w:spacing w:val="8"/>
          <w:sz w:val="24"/>
          <w:highlight w:val="none"/>
        </w:rPr>
        <w:t>乙方保证其履行本合同约定义务的行为及其所提交的技术服务成果不会侵害甲方或任何第三方的知识产权和其他权益，否则乙方应当承担全部法律责任，并赔偿甲方因此产生的全部损失（包括但不限于：甲方的经济损失；甲方因此支付的赔偿金、补偿金、罚金；甲方因维权、制止或减少损失所支付的律师费、诉讼费、调查取证费等费用）。</w:t>
      </w:r>
    </w:p>
    <w:p w14:paraId="5A7C20A7">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lang w:val="en-US" w:eastAsia="zh-CN"/>
        </w:rPr>
        <w:t>8.</w:t>
      </w:r>
      <w:r>
        <w:rPr>
          <w:rFonts w:hint="eastAsia" w:ascii="宋体" w:hAnsi="宋体" w:cs="仿宋"/>
          <w:spacing w:val="8"/>
          <w:sz w:val="24"/>
          <w:highlight w:val="none"/>
        </w:rPr>
        <w:t>在本合同履行期间及终止之后，乙方均有义务按甲方的要求，就本项目服务成果向甲方以及其他机关（包括政府及政府部门、审计机关、监察机关）作出解释、说明及答复。</w:t>
      </w:r>
    </w:p>
    <w:p w14:paraId="25AD89E4">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lang w:val="en-US" w:eastAsia="zh-CN"/>
        </w:rPr>
        <w:t>9.</w:t>
      </w:r>
      <w:r>
        <w:rPr>
          <w:rFonts w:hint="eastAsia" w:ascii="宋体" w:hAnsi="宋体" w:cs="仿宋"/>
          <w:spacing w:val="8"/>
          <w:sz w:val="24"/>
          <w:highlight w:val="none"/>
        </w:rPr>
        <w:t>乙方有权按照本合同约定获取服务报酬。</w:t>
      </w:r>
    </w:p>
    <w:p w14:paraId="21106723">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lang w:val="en-US" w:eastAsia="zh-CN"/>
        </w:rPr>
        <w:t>10.</w:t>
      </w:r>
      <w:r>
        <w:rPr>
          <w:rFonts w:hint="eastAsia" w:ascii="宋体" w:hAnsi="宋体" w:cs="仿宋"/>
          <w:spacing w:val="8"/>
          <w:sz w:val="24"/>
          <w:highlight w:val="none"/>
        </w:rPr>
        <w:t>乙方指定</w:t>
      </w:r>
      <w:r>
        <w:rPr>
          <w:rFonts w:hint="eastAsia" w:ascii="宋体" w:hAnsi="宋体" w:cs="仿宋"/>
          <w:spacing w:val="8"/>
          <w:sz w:val="24"/>
          <w:highlight w:val="none"/>
          <w:u w:val="single"/>
        </w:rPr>
        <w:t xml:space="preserve">          </w:t>
      </w:r>
      <w:r>
        <w:rPr>
          <w:rFonts w:hint="eastAsia" w:ascii="宋体" w:hAnsi="宋体" w:cs="仿宋"/>
          <w:spacing w:val="8"/>
          <w:sz w:val="24"/>
          <w:highlight w:val="none"/>
        </w:rPr>
        <w:t>为乙方项目联系人（负责人）。项目联系人（负责人）应满足采购文件及本合同规定的资质要求，并能胜任项目联系人（负责人）的工作。其负责内容包括：跟进项目进度，协调解决合同履行过程中出现的问题，及时进行联络和沟通，确保各项服务内容及成果按时按质按量提交；及时向甲方汇报项目进展情况，就甲方提出的疑问作出解释、说明和答复；传递、移交、签收文件材料。乙方变更项目联系人的，应当征得甲方同意。甲方认为乙方指定的项目联系人（负责人）不能胜任工作的，可以要求乙方更换。</w:t>
      </w:r>
    </w:p>
    <w:p w14:paraId="1B250690">
      <w:pPr>
        <w:pStyle w:val="4"/>
        <w:spacing w:after="0" w:line="360" w:lineRule="auto"/>
        <w:ind w:firstLine="512" w:firstLineChars="200"/>
        <w:rPr>
          <w:rFonts w:hint="eastAsia" w:ascii="宋体" w:hAnsi="宋体" w:cs="仿宋"/>
          <w:spacing w:val="8"/>
          <w:sz w:val="24"/>
          <w:highlight w:val="none"/>
        </w:rPr>
      </w:pPr>
      <w:r>
        <w:rPr>
          <w:rFonts w:hint="eastAsia" w:ascii="宋体" w:hAnsi="宋体" w:cs="仿宋"/>
          <w:spacing w:val="8"/>
          <w:sz w:val="24"/>
          <w:highlight w:val="none"/>
          <w:lang w:val="en-US" w:eastAsia="zh-CN"/>
        </w:rPr>
        <w:t>11.</w:t>
      </w:r>
      <w:r>
        <w:rPr>
          <w:rFonts w:hint="eastAsia" w:ascii="宋体" w:hAnsi="宋体" w:cs="仿宋"/>
          <w:spacing w:val="8"/>
          <w:sz w:val="24"/>
          <w:highlight w:val="none"/>
        </w:rPr>
        <w:t>乙方应当在本项目经甲方验收后一年内提供技术咨询服务，解答甲方在使用乙方提交的项目成果时遇到的技术问题。</w:t>
      </w:r>
    </w:p>
    <w:p w14:paraId="1B164819">
      <w:pPr>
        <w:pStyle w:val="4"/>
        <w:spacing w:after="0" w:line="360" w:lineRule="auto"/>
        <w:ind w:firstLine="512" w:firstLineChars="200"/>
        <w:rPr>
          <w:rFonts w:hint="default" w:ascii="宋体" w:hAnsi="宋体" w:eastAsia="宋体" w:cs="仿宋"/>
          <w:spacing w:val="8"/>
          <w:sz w:val="24"/>
          <w:highlight w:val="none"/>
          <w:lang w:val="en-US" w:eastAsia="zh-CN"/>
        </w:rPr>
      </w:pPr>
      <w:r>
        <w:rPr>
          <w:rFonts w:hint="eastAsia" w:ascii="宋体" w:hAnsi="宋体" w:cs="仿宋"/>
          <w:spacing w:val="8"/>
          <w:sz w:val="24"/>
          <w:highlight w:val="none"/>
          <w:lang w:val="en-US" w:eastAsia="zh-CN"/>
        </w:rPr>
        <w:t>12.合同服务期满后，乙方需对已修复或已更换的步道基础设施、设备进行为期一年的质保，质保期内如有质量问题，乙方应及时无条件更换。</w:t>
      </w:r>
    </w:p>
    <w:p w14:paraId="71FDBB05">
      <w:pPr>
        <w:pStyle w:val="4"/>
        <w:spacing w:before="120" w:beforeLines="50" w:afterLines="50" w:line="360" w:lineRule="auto"/>
        <w:rPr>
          <w:rFonts w:ascii="宋体" w:hAnsi="宋体" w:cs="仿宋"/>
          <w:b/>
          <w:bCs/>
          <w:spacing w:val="8"/>
          <w:sz w:val="24"/>
          <w:highlight w:val="none"/>
        </w:rPr>
      </w:pPr>
      <w:r>
        <w:rPr>
          <w:rFonts w:hint="eastAsia" w:ascii="宋体" w:hAnsi="宋体" w:cs="仿宋"/>
          <w:b/>
          <w:bCs/>
          <w:spacing w:val="8"/>
          <w:sz w:val="24"/>
          <w:highlight w:val="none"/>
          <w:lang w:eastAsia="zh-CN"/>
        </w:rPr>
        <w:t>第</w:t>
      </w:r>
      <w:r>
        <w:rPr>
          <w:rFonts w:hint="eastAsia" w:ascii="宋体" w:hAnsi="宋体" w:cs="仿宋"/>
          <w:b/>
          <w:bCs/>
          <w:spacing w:val="8"/>
          <w:sz w:val="24"/>
          <w:highlight w:val="none"/>
          <w:lang w:val="en-US" w:eastAsia="zh-CN"/>
        </w:rPr>
        <w:t>八</w:t>
      </w:r>
      <w:r>
        <w:rPr>
          <w:rFonts w:hint="eastAsia" w:ascii="宋体" w:hAnsi="宋体" w:cs="仿宋"/>
          <w:b/>
          <w:bCs/>
          <w:spacing w:val="8"/>
          <w:sz w:val="24"/>
          <w:highlight w:val="none"/>
          <w:lang w:eastAsia="zh-CN"/>
        </w:rPr>
        <w:t>条  保密要求</w:t>
      </w:r>
    </w:p>
    <w:p w14:paraId="5CA7164F">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rPr>
        <w:t>1、保密义务：未经甲方许可，乙方及乙方参与本项目的人员均不得对外披露、泄露本项目执行过程中甲方提供的信息、因合同履行而知悉的企业信息或环境信息、本项目执行过程中形成的过程信息、以及最终的成果信息。乙方应采取有效措施，保证其参与本项目的人员遵守本约定，并对乙方人员违反本约定所造成的后果承担连带责任。</w:t>
      </w:r>
    </w:p>
    <w:p w14:paraId="0BB381B9">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rPr>
        <w:t>2、泄密责任：乙方违反本条规定的，甲方有权视乙方合同履行情况及违约情形，要求乙方支付本合同总价5%的违约金；返还甲方已经支付的费用；赔偿甲方损失（包括但不限于：甲方的经济损失；甲方因此支付的赔偿金、补偿金、罚金；甲方因维权、减少或制止损失所支付的律师费、诉讼费、调查取证费等费用）。</w:t>
      </w:r>
    </w:p>
    <w:p w14:paraId="7C5EBC99">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rPr>
        <w:t>3、保密内容：技术信息和经济信息。包括乙方在本项目实施过程中从甲方获取的有关本项目的技术文件、相关资料、技术诀窍、技术秘密、商业秘密，以及已由甲方明确列为保密信息的其他信息。</w:t>
      </w:r>
    </w:p>
    <w:p w14:paraId="60DD2E3E">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rPr>
        <w:t>4、保密责任者范围：乙方及乙方参与本项目的所有人员。</w:t>
      </w:r>
    </w:p>
    <w:p w14:paraId="42AB5A29">
      <w:pPr>
        <w:pStyle w:val="4"/>
        <w:spacing w:before="120" w:beforeLines="50" w:afterLines="50" w:line="360" w:lineRule="auto"/>
        <w:rPr>
          <w:rFonts w:ascii="宋体" w:hAnsi="宋体" w:cs="仿宋"/>
          <w:b/>
          <w:bCs/>
          <w:spacing w:val="8"/>
          <w:sz w:val="24"/>
          <w:highlight w:val="none"/>
        </w:rPr>
      </w:pPr>
      <w:r>
        <w:rPr>
          <w:rFonts w:hint="eastAsia" w:ascii="宋体" w:hAnsi="宋体" w:cs="仿宋"/>
          <w:b/>
          <w:bCs/>
          <w:spacing w:val="8"/>
          <w:sz w:val="24"/>
          <w:highlight w:val="none"/>
        </w:rPr>
        <w:t>第</w:t>
      </w:r>
      <w:r>
        <w:rPr>
          <w:rFonts w:hint="eastAsia" w:ascii="宋体" w:hAnsi="宋体" w:cs="仿宋"/>
          <w:b/>
          <w:bCs/>
          <w:spacing w:val="8"/>
          <w:sz w:val="24"/>
          <w:highlight w:val="none"/>
          <w:lang w:val="en-US" w:eastAsia="zh-CN"/>
        </w:rPr>
        <w:t>九</w:t>
      </w:r>
      <w:r>
        <w:rPr>
          <w:rFonts w:hint="eastAsia" w:ascii="宋体" w:hAnsi="宋体" w:cs="仿宋"/>
          <w:b/>
          <w:bCs/>
          <w:spacing w:val="8"/>
          <w:sz w:val="24"/>
          <w:highlight w:val="none"/>
        </w:rPr>
        <w:t>条  其他要求</w:t>
      </w:r>
    </w:p>
    <w:p w14:paraId="2E388CCA">
      <w:pPr>
        <w:pStyle w:val="4"/>
        <w:spacing w:after="0" w:line="360" w:lineRule="auto"/>
        <w:ind w:firstLine="504" w:firstLineChars="200"/>
        <w:rPr>
          <w:rFonts w:ascii="宋体" w:hAnsi="宋体" w:cs="仿宋"/>
          <w:spacing w:val="6"/>
          <w:sz w:val="24"/>
          <w:highlight w:val="none"/>
        </w:rPr>
      </w:pPr>
      <w:r>
        <w:rPr>
          <w:rFonts w:ascii="宋体" w:hAnsi="宋体" w:cs="仿宋"/>
          <w:spacing w:val="6"/>
          <w:sz w:val="24"/>
          <w:highlight w:val="none"/>
        </w:rPr>
        <w:t>1.</w:t>
      </w:r>
      <w:r>
        <w:rPr>
          <w:rFonts w:hint="eastAsia" w:ascii="宋体" w:hAnsi="宋体" w:cs="仿宋"/>
          <w:spacing w:val="6"/>
          <w:sz w:val="24"/>
          <w:highlight w:val="none"/>
        </w:rPr>
        <w:t>本项目成果署名权归乙方所有，版权归甲方所有</w:t>
      </w:r>
      <w:r>
        <w:rPr>
          <w:rFonts w:hint="eastAsia" w:ascii="宋体" w:hAnsi="宋体" w:cs="仿宋"/>
          <w:spacing w:val="6"/>
          <w:sz w:val="24"/>
          <w:highlight w:val="none"/>
          <w:lang w:eastAsia="zh-CN"/>
        </w:rPr>
        <w:t>，</w:t>
      </w:r>
      <w:r>
        <w:rPr>
          <w:rFonts w:hint="eastAsia" w:ascii="宋体" w:hAnsi="宋体" w:cs="仿宋"/>
          <w:spacing w:val="6"/>
          <w:sz w:val="24"/>
          <w:highlight w:val="none"/>
        </w:rPr>
        <w:t>甲方有权利用本采购项目成果进行新的科学研究，研究成果归甲方所有；甲方有权在成果验收通过后公开展示项目成果，并通过传播、媒介、专业杂志、书刊或其它形式介绍、展示。</w:t>
      </w:r>
      <w:r>
        <w:rPr>
          <w:rFonts w:ascii="宋体" w:hAnsi="宋体" w:cs="仿宋"/>
          <w:spacing w:val="6"/>
          <w:sz w:val="24"/>
          <w:highlight w:val="none"/>
        </w:rPr>
        <w:t xml:space="preserve"> </w:t>
      </w:r>
    </w:p>
    <w:p w14:paraId="6635C67C">
      <w:pPr>
        <w:pStyle w:val="4"/>
        <w:spacing w:after="0" w:line="360" w:lineRule="auto"/>
        <w:ind w:firstLine="504" w:firstLineChars="200"/>
        <w:rPr>
          <w:rFonts w:ascii="宋体" w:hAnsi="宋体" w:cs="仿宋"/>
          <w:spacing w:val="6"/>
          <w:sz w:val="24"/>
          <w:highlight w:val="none"/>
        </w:rPr>
      </w:pPr>
      <w:r>
        <w:rPr>
          <w:rFonts w:ascii="宋体" w:hAnsi="宋体" w:cs="仿宋"/>
          <w:spacing w:val="6"/>
          <w:sz w:val="24"/>
          <w:highlight w:val="none"/>
        </w:rPr>
        <w:t>2.</w:t>
      </w:r>
      <w:r>
        <w:rPr>
          <w:rFonts w:hint="eastAsia" w:ascii="宋体" w:hAnsi="宋体" w:cs="仿宋"/>
          <w:spacing w:val="6"/>
          <w:sz w:val="24"/>
          <w:highlight w:val="none"/>
        </w:rPr>
        <w:t>项目成果批准实施前，任何单位和个人未经甲方同意都无权以任何形式向社会公开展示项目成果。</w:t>
      </w:r>
    </w:p>
    <w:p w14:paraId="3019AEAF">
      <w:pPr>
        <w:pStyle w:val="4"/>
        <w:spacing w:before="120" w:beforeLines="50" w:afterLines="50" w:line="360" w:lineRule="auto"/>
        <w:rPr>
          <w:rFonts w:ascii="宋体" w:hAnsi="宋体" w:cs="仿宋"/>
          <w:b/>
          <w:bCs/>
          <w:spacing w:val="8"/>
          <w:sz w:val="24"/>
          <w:highlight w:val="none"/>
        </w:rPr>
      </w:pPr>
      <w:r>
        <w:rPr>
          <w:rFonts w:hint="eastAsia" w:ascii="宋体" w:hAnsi="宋体" w:cs="仿宋"/>
          <w:b/>
          <w:bCs/>
          <w:spacing w:val="8"/>
          <w:sz w:val="24"/>
          <w:highlight w:val="none"/>
        </w:rPr>
        <w:t>第十条  违约责任与赔偿损失</w:t>
      </w:r>
    </w:p>
    <w:p w14:paraId="6F81141A">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rPr>
        <w:t>1、乙方提供的服务内容或成果（无论是阶段性服务成果还是最终服务成果）不符合本合同规定的，甲方有权拒收并要求乙方限期整改。乙方须按次向甲方支付本合同总价5%的违约金，并继续履行合同义务，向甲方交付符合本合同约定的服务成果。如乙方未在甲方要求的时限内整改完毕或整改后提供的服务成果仍不符合本合同约定的，甲方有权单方面解除合同，余款不再支付，已经支付的款项乙方应当在收到解除通知之日起三日内予以退还，且甲方有权要求乙方按本合同总价的10%支付违约金。</w:t>
      </w:r>
    </w:p>
    <w:p w14:paraId="18E318C6">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rPr>
        <w:t>2、乙方未能按本合同规定的交付时间提供服务内容或成果（无论是阶段性服务成果还是最终服务成果）的，从逾期之日起，每日应按本合同总价3‰的数额向甲方支付违约金；逾期半个月以上的，甲方有权终止合同，余款不再支付，已经支付的相应款项乙方应当在收到解除通知之日起三日内予以退还，且甲方有权要求乙方按本合同总价的10%支付违约金。</w:t>
      </w:r>
    </w:p>
    <w:p w14:paraId="7EB76638">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rPr>
        <w:t>3、甲方无正当理由拒收接受服务成果，到期拒付服务款项的，甲方应向乙方支付本合同总价5%的违约金。甲方逾期付款（指逾期向财政提出付款申请）的，从逾期之日起，每日应按本合同总价的3‰向乙方支付违约金。因乙方提交的服务成果证明材料或者其他请款材料不符合财政支付要求，财政部门不接受甲方的付款申请，因此导致甲方提交付款申请时间不符合合同约定的，甲方无需承担违约责任。</w:t>
      </w:r>
    </w:p>
    <w:p w14:paraId="1DDD71E1">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rPr>
        <w:t>4、因甲方原因导致变更、中止或者终止合同的，甲方应当按照乙方实际已完成的工作量结算合同款。</w:t>
      </w:r>
    </w:p>
    <w:p w14:paraId="2DFAC67B">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rPr>
        <w:t>5、乙方未经甲方书面同意，不得擅自使用、传播或向第三人提供本项目成果（包括阶段性服务成果和最终服务成果），否则乙方因此获得的利益应当全部归甲方所有，并且乙方还应向甲方支付本合同总价的10%的违约金、赔偿甲方因此产生的损失（包括但不限于：甲方的经济损失；甲方因此支付的赔偿金、补偿金、罚金；甲方因维权、制止或减少损失所支付的律师费、诉讼费、调查取证费等费用）。</w:t>
      </w:r>
    </w:p>
    <w:p w14:paraId="5BEEA63A">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rPr>
        <w:t>6、非经甲方书面同意，乙方不得将部分或全部合同义务转让给第三方。否则甲方有权要求乙方支付本合同总价的10%的违约金，并有权解除合同。甲方提出解除合同的，余款不再支付；已经支付的款项，乙方应当在收到解除通知之日起三日内予以退还。</w:t>
      </w:r>
    </w:p>
    <w:p w14:paraId="740D1A7C">
      <w:pPr>
        <w:pStyle w:val="4"/>
        <w:spacing w:after="0" w:line="360" w:lineRule="auto"/>
        <w:ind w:firstLine="504" w:firstLineChars="200"/>
        <w:rPr>
          <w:rFonts w:hint="eastAsia" w:ascii="宋体" w:hAnsi="宋体" w:cs="仿宋"/>
          <w:spacing w:val="6"/>
          <w:sz w:val="24"/>
          <w:highlight w:val="none"/>
        </w:rPr>
      </w:pPr>
      <w:r>
        <w:rPr>
          <w:rFonts w:hint="eastAsia" w:ascii="宋体" w:hAnsi="宋体" w:cs="仿宋"/>
          <w:spacing w:val="6"/>
          <w:sz w:val="24"/>
          <w:highlight w:val="none"/>
        </w:rPr>
        <w:t>7、乙方存在上述1、2款规定以外的其它违约行为时，甲方除可要求乙方依法承担违约责任、赔偿甲方因此产生的损失（包括但不限于：甲方的经济损失；甲方因此支付的赔偿金、补偿金、罚金；甲方因维权、制止或减少损失所支付的律师费、诉讼费、调查取证费等费用）之外，还可选择参照本条第1款的规定要求乙方承担违约责任。</w:t>
      </w:r>
    </w:p>
    <w:p w14:paraId="6D6631EB">
      <w:pPr>
        <w:pStyle w:val="4"/>
        <w:spacing w:before="120" w:beforeLines="50" w:afterLines="50" w:line="360" w:lineRule="auto"/>
        <w:rPr>
          <w:rFonts w:ascii="宋体" w:hAnsi="宋体" w:cs="仿宋"/>
          <w:b/>
          <w:bCs/>
          <w:spacing w:val="8"/>
          <w:sz w:val="24"/>
          <w:highlight w:val="none"/>
        </w:rPr>
      </w:pPr>
      <w:r>
        <w:rPr>
          <w:rFonts w:hint="eastAsia" w:ascii="宋体" w:hAnsi="宋体" w:cs="仿宋"/>
          <w:b/>
          <w:bCs/>
          <w:spacing w:val="8"/>
          <w:sz w:val="24"/>
          <w:highlight w:val="none"/>
        </w:rPr>
        <w:t>第十</w:t>
      </w:r>
      <w:r>
        <w:rPr>
          <w:rFonts w:hint="eastAsia" w:ascii="宋体" w:hAnsi="宋体" w:cs="仿宋"/>
          <w:b/>
          <w:bCs/>
          <w:spacing w:val="8"/>
          <w:sz w:val="24"/>
          <w:highlight w:val="none"/>
          <w:lang w:val="en-US" w:eastAsia="zh-CN"/>
        </w:rPr>
        <w:t>一</w:t>
      </w:r>
      <w:r>
        <w:rPr>
          <w:rFonts w:hint="eastAsia" w:ascii="宋体" w:hAnsi="宋体" w:cs="仿宋"/>
          <w:b/>
          <w:bCs/>
          <w:spacing w:val="8"/>
          <w:sz w:val="24"/>
          <w:highlight w:val="none"/>
        </w:rPr>
        <w:t>条  争端的解决</w:t>
      </w:r>
    </w:p>
    <w:p w14:paraId="7EDEF54B">
      <w:pPr>
        <w:pStyle w:val="4"/>
        <w:spacing w:after="0" w:line="360" w:lineRule="auto"/>
        <w:ind w:firstLine="504" w:firstLineChars="200"/>
        <w:rPr>
          <w:rFonts w:ascii="宋体" w:hAnsi="宋体" w:cs="仿宋"/>
          <w:spacing w:val="6"/>
          <w:sz w:val="24"/>
          <w:highlight w:val="none"/>
        </w:rPr>
      </w:pPr>
      <w:r>
        <w:rPr>
          <w:rFonts w:hint="eastAsia" w:ascii="宋体" w:hAnsi="宋体" w:cs="仿宋"/>
          <w:spacing w:val="6"/>
          <w:sz w:val="24"/>
          <w:highlight w:val="none"/>
        </w:rPr>
        <w:t>合同执行过程中发生的任何争议，如双方不能通过友好协商解决，提交甲方所在地人民法院进行解决。</w:t>
      </w:r>
    </w:p>
    <w:p w14:paraId="7C4A46D9">
      <w:pPr>
        <w:pStyle w:val="4"/>
        <w:spacing w:before="120" w:beforeLines="50" w:afterLines="50" w:line="360" w:lineRule="auto"/>
        <w:rPr>
          <w:rFonts w:ascii="宋体" w:hAnsi="宋体" w:cs="仿宋"/>
          <w:b/>
          <w:bCs/>
          <w:spacing w:val="8"/>
          <w:sz w:val="24"/>
          <w:highlight w:val="none"/>
        </w:rPr>
      </w:pPr>
      <w:r>
        <w:rPr>
          <w:rFonts w:hint="eastAsia" w:ascii="宋体" w:hAnsi="宋体" w:cs="仿宋"/>
          <w:b/>
          <w:bCs/>
          <w:spacing w:val="8"/>
          <w:sz w:val="24"/>
          <w:highlight w:val="none"/>
        </w:rPr>
        <w:t>第十</w:t>
      </w:r>
      <w:r>
        <w:rPr>
          <w:rFonts w:hint="eastAsia" w:ascii="宋体" w:hAnsi="宋体" w:cs="仿宋"/>
          <w:b/>
          <w:bCs/>
          <w:spacing w:val="8"/>
          <w:sz w:val="24"/>
          <w:highlight w:val="none"/>
          <w:lang w:val="en-US" w:eastAsia="zh-CN"/>
        </w:rPr>
        <w:t>二</w:t>
      </w:r>
      <w:r>
        <w:rPr>
          <w:rFonts w:hint="eastAsia" w:ascii="宋体" w:hAnsi="宋体" w:cs="仿宋"/>
          <w:b/>
          <w:bCs/>
          <w:spacing w:val="8"/>
          <w:sz w:val="24"/>
          <w:highlight w:val="none"/>
        </w:rPr>
        <w:t>条  不可抗力</w:t>
      </w:r>
    </w:p>
    <w:p w14:paraId="5821A391">
      <w:pPr>
        <w:pStyle w:val="4"/>
        <w:spacing w:after="0" w:line="360" w:lineRule="auto"/>
        <w:ind w:firstLine="504" w:firstLineChars="200"/>
        <w:rPr>
          <w:rFonts w:ascii="宋体" w:hAnsi="宋体" w:cs="仿宋"/>
          <w:sz w:val="24"/>
          <w:highlight w:val="none"/>
        </w:rPr>
      </w:pPr>
      <w:r>
        <w:rPr>
          <w:rFonts w:hint="eastAsia" w:ascii="宋体" w:hAnsi="宋体" w:cs="仿宋"/>
          <w:spacing w:val="6"/>
          <w:sz w:val="24"/>
          <w:highlight w:val="none"/>
        </w:rPr>
        <w:t>任何一方由于不可抗力原因不能履行合同时，应在不可抗力事件结束后</w:t>
      </w:r>
      <w:r>
        <w:rPr>
          <w:rFonts w:ascii="宋体" w:hAnsi="宋体" w:cs="仿宋"/>
          <w:spacing w:val="6"/>
          <w:sz w:val="24"/>
          <w:highlight w:val="none"/>
        </w:rPr>
        <w:t>1</w:t>
      </w:r>
      <w:r>
        <w:rPr>
          <w:rFonts w:hint="eastAsia" w:ascii="宋体" w:hAnsi="宋体" w:cs="仿宋"/>
          <w:spacing w:val="6"/>
          <w:sz w:val="24"/>
          <w:highlight w:val="none"/>
        </w:rPr>
        <w:t>日内向对方通报，以减轻可能给对方造成的损失，在取得有关机构的不可抗力证明或双方谅解确认后，允许延期履行或修订合同，并根据情况可部分或全部免于承担违约责任。</w:t>
      </w:r>
    </w:p>
    <w:p w14:paraId="4A6CC26D">
      <w:pPr>
        <w:pStyle w:val="4"/>
        <w:spacing w:before="120" w:beforeLines="50" w:afterLines="50" w:line="360" w:lineRule="auto"/>
        <w:rPr>
          <w:rFonts w:ascii="宋体" w:hAnsi="宋体" w:cs="仿宋"/>
          <w:b/>
          <w:bCs/>
          <w:spacing w:val="8"/>
          <w:sz w:val="24"/>
          <w:highlight w:val="none"/>
        </w:rPr>
      </w:pPr>
      <w:r>
        <w:rPr>
          <w:rFonts w:hint="eastAsia" w:ascii="宋体" w:hAnsi="宋体" w:cs="仿宋"/>
          <w:b/>
          <w:bCs/>
          <w:spacing w:val="8"/>
          <w:sz w:val="24"/>
          <w:highlight w:val="none"/>
        </w:rPr>
        <w:t>第十</w:t>
      </w:r>
      <w:r>
        <w:rPr>
          <w:rFonts w:hint="eastAsia" w:ascii="宋体" w:hAnsi="宋体" w:cs="仿宋"/>
          <w:b/>
          <w:bCs/>
          <w:spacing w:val="8"/>
          <w:sz w:val="24"/>
          <w:highlight w:val="none"/>
          <w:lang w:val="en-US" w:eastAsia="zh-CN"/>
        </w:rPr>
        <w:t>三</w:t>
      </w:r>
      <w:r>
        <w:rPr>
          <w:rFonts w:hint="eastAsia" w:ascii="宋体" w:hAnsi="宋体" w:cs="仿宋"/>
          <w:b/>
          <w:bCs/>
          <w:spacing w:val="8"/>
          <w:sz w:val="24"/>
          <w:highlight w:val="none"/>
        </w:rPr>
        <w:t>条  税费</w:t>
      </w:r>
    </w:p>
    <w:p w14:paraId="0154DE4C">
      <w:pPr>
        <w:pStyle w:val="4"/>
        <w:spacing w:after="0" w:line="360" w:lineRule="auto"/>
        <w:ind w:firstLine="516" w:firstLineChars="200"/>
        <w:rPr>
          <w:rFonts w:ascii="宋体" w:hAnsi="宋体" w:cs="仿宋"/>
          <w:sz w:val="24"/>
          <w:highlight w:val="none"/>
        </w:rPr>
      </w:pPr>
      <w:r>
        <w:rPr>
          <w:rFonts w:hint="eastAsia" w:ascii="宋体" w:hAnsi="宋体" w:cs="仿宋"/>
          <w:spacing w:val="9"/>
          <w:sz w:val="24"/>
          <w:highlight w:val="none"/>
        </w:rPr>
        <w:t>在中国境内、外发生的与本合同执行有关的一切税费均由乙方负担。</w:t>
      </w:r>
    </w:p>
    <w:p w14:paraId="53851806">
      <w:pPr>
        <w:pStyle w:val="4"/>
        <w:spacing w:before="120" w:beforeLines="50" w:afterLines="50" w:line="360" w:lineRule="auto"/>
        <w:rPr>
          <w:rFonts w:ascii="宋体" w:hAnsi="宋体" w:cs="仿宋"/>
          <w:b/>
          <w:bCs/>
          <w:spacing w:val="8"/>
          <w:sz w:val="24"/>
          <w:highlight w:val="none"/>
        </w:rPr>
      </w:pPr>
      <w:r>
        <w:rPr>
          <w:rFonts w:hint="eastAsia" w:ascii="宋体" w:hAnsi="宋体" w:cs="仿宋"/>
          <w:b/>
          <w:bCs/>
          <w:spacing w:val="8"/>
          <w:sz w:val="24"/>
          <w:highlight w:val="none"/>
        </w:rPr>
        <w:t>第十</w:t>
      </w:r>
      <w:r>
        <w:rPr>
          <w:rFonts w:hint="eastAsia" w:ascii="宋体" w:hAnsi="宋体" w:cs="仿宋"/>
          <w:b/>
          <w:bCs/>
          <w:spacing w:val="8"/>
          <w:sz w:val="24"/>
          <w:highlight w:val="none"/>
          <w:lang w:val="en-US" w:eastAsia="zh-CN"/>
        </w:rPr>
        <w:t>四</w:t>
      </w:r>
      <w:r>
        <w:rPr>
          <w:rFonts w:hint="eastAsia" w:ascii="宋体" w:hAnsi="宋体" w:cs="仿宋"/>
          <w:b/>
          <w:bCs/>
          <w:spacing w:val="8"/>
          <w:sz w:val="24"/>
          <w:highlight w:val="none"/>
        </w:rPr>
        <w:t>条  其它</w:t>
      </w:r>
    </w:p>
    <w:p w14:paraId="2E43EC5D">
      <w:pPr>
        <w:pStyle w:val="4"/>
        <w:spacing w:after="0" w:line="360" w:lineRule="auto"/>
        <w:ind w:firstLine="504" w:firstLineChars="200"/>
        <w:rPr>
          <w:rFonts w:ascii="宋体" w:hAnsi="宋体" w:cs="仿宋"/>
          <w:spacing w:val="6"/>
          <w:sz w:val="24"/>
          <w:highlight w:val="none"/>
        </w:rPr>
      </w:pPr>
      <w:r>
        <w:rPr>
          <w:rFonts w:ascii="宋体" w:hAnsi="宋体" w:cs="仿宋"/>
          <w:spacing w:val="6"/>
          <w:sz w:val="24"/>
          <w:highlight w:val="none"/>
        </w:rPr>
        <w:t>1.</w:t>
      </w:r>
      <w:r>
        <w:rPr>
          <w:rFonts w:hint="eastAsia" w:ascii="宋体" w:hAnsi="宋体" w:cs="仿宋"/>
          <w:spacing w:val="6"/>
          <w:sz w:val="24"/>
          <w:highlight w:val="none"/>
        </w:rPr>
        <w:t>本合同所有附件、招标文件、投标文件、中标通知书均为合同的有效组成部分，与本合同具有同等法律效力。</w:t>
      </w:r>
    </w:p>
    <w:p w14:paraId="25E5002F">
      <w:pPr>
        <w:pStyle w:val="4"/>
        <w:spacing w:after="0" w:line="360" w:lineRule="auto"/>
        <w:ind w:firstLine="504" w:firstLineChars="200"/>
        <w:rPr>
          <w:rFonts w:ascii="宋体" w:hAnsi="宋体" w:cs="仿宋"/>
          <w:spacing w:val="6"/>
          <w:sz w:val="24"/>
          <w:highlight w:val="none"/>
        </w:rPr>
      </w:pPr>
      <w:r>
        <w:rPr>
          <w:rFonts w:ascii="宋体" w:hAnsi="宋体" w:cs="仿宋"/>
          <w:spacing w:val="6"/>
          <w:sz w:val="24"/>
          <w:highlight w:val="none"/>
        </w:rPr>
        <w:t>2.</w:t>
      </w:r>
      <w:r>
        <w:rPr>
          <w:rFonts w:hint="eastAsia" w:ascii="宋体" w:hAnsi="宋体" w:cs="仿宋"/>
          <w:spacing w:val="6"/>
          <w:sz w:val="24"/>
          <w:highlight w:val="none"/>
        </w:rPr>
        <w:t>在执行本合同的过程中，所有经双方签署确认的文件（包括会议纪要、补充协议、往来信函）即成为本合同的有效组成部分。</w:t>
      </w:r>
    </w:p>
    <w:p w14:paraId="3763E287">
      <w:pPr>
        <w:pStyle w:val="4"/>
        <w:spacing w:after="0" w:line="360" w:lineRule="auto"/>
        <w:ind w:firstLine="504" w:firstLineChars="200"/>
        <w:rPr>
          <w:rFonts w:ascii="宋体" w:hAnsi="宋体" w:cs="仿宋"/>
          <w:spacing w:val="6"/>
          <w:sz w:val="24"/>
          <w:highlight w:val="none"/>
        </w:rPr>
      </w:pPr>
      <w:r>
        <w:rPr>
          <w:rFonts w:ascii="宋体" w:hAnsi="宋体" w:cs="仿宋"/>
          <w:spacing w:val="6"/>
          <w:sz w:val="24"/>
          <w:highlight w:val="none"/>
        </w:rPr>
        <w:t>3.</w:t>
      </w:r>
      <w:r>
        <w:rPr>
          <w:rFonts w:hint="eastAsia" w:ascii="宋体" w:hAnsi="宋体" w:cs="仿宋"/>
          <w:spacing w:val="6"/>
          <w:sz w:val="24"/>
          <w:highlight w:val="none"/>
        </w:rPr>
        <w:t>甲乙双方因履行本合同而相互发出或者提供的所有通知、文件、资料，均以本合同所列明的地址、传真号、电子邮箱送达，一方如迁址或者变更传真、电子邮箱、电话，应当书面通知对方；直接交付的，在交付之时视为送达；通过传真方式的，在发出传真时视为送达；通过邮寄方式的，</w:t>
      </w:r>
      <w:r>
        <w:rPr>
          <w:rFonts w:ascii="宋体" w:hAnsi="宋体" w:cs="仿宋"/>
          <w:spacing w:val="6"/>
          <w:sz w:val="24"/>
          <w:highlight w:val="none"/>
        </w:rPr>
        <w:t>EMS</w:t>
      </w:r>
      <w:r>
        <w:rPr>
          <w:rFonts w:hint="eastAsia" w:ascii="宋体" w:hAnsi="宋体" w:cs="仿宋"/>
          <w:spacing w:val="6"/>
          <w:sz w:val="24"/>
          <w:highlight w:val="none"/>
        </w:rPr>
        <w:t>寄出第</w:t>
      </w:r>
      <w:r>
        <w:rPr>
          <w:rFonts w:ascii="宋体" w:hAnsi="宋体" w:cs="仿宋"/>
          <w:spacing w:val="6"/>
          <w:sz w:val="24"/>
          <w:highlight w:val="none"/>
        </w:rPr>
        <w:t>2</w:t>
      </w:r>
      <w:r>
        <w:rPr>
          <w:rFonts w:hint="eastAsia" w:ascii="宋体" w:hAnsi="宋体" w:cs="仿宋"/>
          <w:spacing w:val="6"/>
          <w:sz w:val="24"/>
          <w:highlight w:val="none"/>
        </w:rPr>
        <w:t>天视为送达；通过电子邮箱方式的，一方邮件系统显示已成功投递对方服务器的视为送达。</w:t>
      </w:r>
    </w:p>
    <w:p w14:paraId="5A8CD590">
      <w:pPr>
        <w:pStyle w:val="4"/>
        <w:spacing w:after="0" w:line="360" w:lineRule="auto"/>
        <w:ind w:firstLine="504" w:firstLineChars="200"/>
        <w:rPr>
          <w:rFonts w:ascii="宋体" w:hAnsi="宋体" w:cs="仿宋"/>
          <w:spacing w:val="6"/>
          <w:sz w:val="24"/>
          <w:highlight w:val="none"/>
        </w:rPr>
      </w:pPr>
      <w:r>
        <w:rPr>
          <w:rFonts w:ascii="宋体" w:hAnsi="宋体" w:cs="仿宋"/>
          <w:spacing w:val="6"/>
          <w:sz w:val="24"/>
          <w:highlight w:val="none"/>
        </w:rPr>
        <w:t>4.</w:t>
      </w:r>
      <w:r>
        <w:rPr>
          <w:rFonts w:hint="eastAsia" w:ascii="宋体" w:hAnsi="宋体" w:cs="仿宋"/>
          <w:spacing w:val="6"/>
          <w:sz w:val="24"/>
          <w:highlight w:val="none"/>
        </w:rPr>
        <w:t>除甲方事先书面同意外，乙方不得部分或全部转让其应履行的合同项下的义务。</w:t>
      </w:r>
    </w:p>
    <w:p w14:paraId="465E688A">
      <w:pPr>
        <w:pStyle w:val="4"/>
        <w:spacing w:before="120" w:beforeLines="50" w:afterLines="50" w:line="360" w:lineRule="auto"/>
        <w:rPr>
          <w:rFonts w:ascii="宋体" w:hAnsi="宋体" w:cs="仿宋"/>
          <w:b/>
          <w:bCs/>
          <w:spacing w:val="8"/>
          <w:sz w:val="24"/>
          <w:highlight w:val="none"/>
        </w:rPr>
      </w:pPr>
      <w:r>
        <w:rPr>
          <w:rFonts w:hint="eastAsia" w:ascii="宋体" w:hAnsi="宋体" w:cs="仿宋"/>
          <w:b/>
          <w:bCs/>
          <w:spacing w:val="8"/>
          <w:sz w:val="24"/>
          <w:highlight w:val="none"/>
        </w:rPr>
        <w:t>第十</w:t>
      </w:r>
      <w:r>
        <w:rPr>
          <w:rFonts w:hint="eastAsia" w:ascii="宋体" w:hAnsi="宋体" w:cs="仿宋"/>
          <w:b/>
          <w:bCs/>
          <w:spacing w:val="8"/>
          <w:sz w:val="24"/>
          <w:highlight w:val="none"/>
          <w:lang w:val="en-US" w:eastAsia="zh-CN"/>
        </w:rPr>
        <w:t>五</w:t>
      </w:r>
      <w:r>
        <w:rPr>
          <w:rFonts w:hint="eastAsia" w:ascii="宋体" w:hAnsi="宋体" w:cs="仿宋"/>
          <w:b/>
          <w:bCs/>
          <w:spacing w:val="8"/>
          <w:sz w:val="24"/>
          <w:highlight w:val="none"/>
        </w:rPr>
        <w:t>条</w:t>
      </w:r>
      <w:r>
        <w:rPr>
          <w:rFonts w:ascii="宋体" w:hAnsi="宋体" w:cs="仿宋"/>
          <w:b/>
          <w:bCs/>
          <w:spacing w:val="8"/>
          <w:sz w:val="24"/>
          <w:highlight w:val="none"/>
        </w:rPr>
        <w:t xml:space="preserve">  </w:t>
      </w:r>
      <w:r>
        <w:rPr>
          <w:rFonts w:hint="eastAsia" w:ascii="宋体" w:hAnsi="宋体" w:cs="仿宋"/>
          <w:b/>
          <w:bCs/>
          <w:spacing w:val="8"/>
          <w:sz w:val="24"/>
          <w:highlight w:val="none"/>
        </w:rPr>
        <w:t>合同的效力</w:t>
      </w:r>
    </w:p>
    <w:p w14:paraId="672B0231">
      <w:pPr>
        <w:pStyle w:val="4"/>
        <w:spacing w:after="0" w:line="360" w:lineRule="auto"/>
        <w:ind w:firstLine="504" w:firstLineChars="200"/>
        <w:rPr>
          <w:rFonts w:ascii="宋体" w:hAnsi="宋体" w:cs="仿宋"/>
          <w:spacing w:val="6"/>
          <w:sz w:val="24"/>
          <w:highlight w:val="none"/>
        </w:rPr>
      </w:pPr>
      <w:r>
        <w:rPr>
          <w:rFonts w:hint="eastAsia" w:ascii="宋体" w:hAnsi="宋体" w:cs="仿宋"/>
          <w:spacing w:val="6"/>
          <w:sz w:val="24"/>
          <w:highlight w:val="none"/>
        </w:rPr>
        <w:t>本合同自双方签名盖章后生效。本合同一式</w:t>
      </w:r>
      <w:r>
        <w:rPr>
          <w:rFonts w:hint="eastAsia" w:ascii="宋体" w:hAnsi="宋体" w:cs="仿宋"/>
          <w:spacing w:val="6"/>
          <w:sz w:val="24"/>
          <w:highlight w:val="none"/>
          <w:u w:val="single"/>
          <w:lang w:val="en-US" w:eastAsia="zh-CN"/>
        </w:rPr>
        <w:t xml:space="preserve">  </w:t>
      </w:r>
      <w:r>
        <w:rPr>
          <w:rFonts w:hint="eastAsia" w:ascii="宋体" w:hAnsi="宋体" w:cs="仿宋"/>
          <w:spacing w:val="6"/>
          <w:sz w:val="24"/>
          <w:highlight w:val="none"/>
        </w:rPr>
        <w:t>份，甲方、乙方双方各执</w:t>
      </w:r>
      <w:r>
        <w:rPr>
          <w:rFonts w:hint="eastAsia" w:ascii="宋体" w:hAnsi="宋体" w:cs="仿宋"/>
          <w:spacing w:val="6"/>
          <w:sz w:val="24"/>
          <w:highlight w:val="none"/>
          <w:u w:val="single"/>
          <w:lang w:val="en-US" w:eastAsia="zh-CN"/>
        </w:rPr>
        <w:t xml:space="preserve">  </w:t>
      </w:r>
      <w:r>
        <w:rPr>
          <w:rFonts w:hint="eastAsia" w:ascii="宋体" w:hAnsi="宋体" w:cs="仿宋"/>
          <w:spacing w:val="6"/>
          <w:sz w:val="24"/>
          <w:highlight w:val="none"/>
        </w:rPr>
        <w:t>份。</w:t>
      </w:r>
    </w:p>
    <w:p w14:paraId="086D2A79">
      <w:pPr>
        <w:pStyle w:val="8"/>
        <w:spacing w:before="120" w:beforeLines="50" w:after="120" w:afterLines="50" w:line="360" w:lineRule="auto"/>
        <w:jc w:val="both"/>
        <w:rPr>
          <w:rFonts w:hint="default" w:ascii="宋体" w:hAnsi="宋体"/>
          <w:color w:val="auto"/>
          <w:sz w:val="24"/>
          <w:szCs w:val="24"/>
          <w:highlight w:val="none"/>
        </w:rPr>
      </w:pPr>
      <w:r>
        <w:rPr>
          <w:rFonts w:ascii="宋体" w:hAnsi="宋体"/>
          <w:b/>
          <w:color w:val="auto"/>
          <w:sz w:val="24"/>
          <w:szCs w:val="24"/>
          <w:highlight w:val="none"/>
        </w:rPr>
        <w:t>（本页以下无正文）</w:t>
      </w:r>
    </w:p>
    <w:p w14:paraId="725CF5D6">
      <w:pPr>
        <w:pStyle w:val="8"/>
        <w:spacing w:line="360" w:lineRule="auto"/>
        <w:jc w:val="both"/>
        <w:rPr>
          <w:rFonts w:hint="default" w:ascii="宋体" w:hAnsi="宋体"/>
          <w:color w:val="auto"/>
          <w:sz w:val="24"/>
          <w:szCs w:val="24"/>
          <w:highlight w:val="none"/>
        </w:rPr>
      </w:pPr>
      <w:r>
        <w:rPr>
          <w:rFonts w:ascii="宋体" w:hAnsi="宋体"/>
          <w:color w:val="auto"/>
          <w:sz w:val="24"/>
          <w:szCs w:val="24"/>
          <w:highlight w:val="none"/>
        </w:rPr>
        <w:t xml:space="preserve">甲方（盖章）：                          </w:t>
      </w:r>
    </w:p>
    <w:p w14:paraId="279AD587">
      <w:pPr>
        <w:pStyle w:val="8"/>
        <w:spacing w:line="360" w:lineRule="auto"/>
        <w:jc w:val="both"/>
        <w:rPr>
          <w:rFonts w:hint="default" w:ascii="宋体" w:hAnsi="宋体"/>
          <w:color w:val="auto"/>
          <w:sz w:val="24"/>
          <w:szCs w:val="24"/>
          <w:highlight w:val="none"/>
        </w:rPr>
      </w:pPr>
      <w:r>
        <w:rPr>
          <w:rFonts w:ascii="宋体" w:hAnsi="宋体"/>
          <w:color w:val="auto"/>
          <w:sz w:val="24"/>
          <w:szCs w:val="24"/>
          <w:highlight w:val="none"/>
        </w:rPr>
        <w:t xml:space="preserve">代表：                                   </w:t>
      </w:r>
    </w:p>
    <w:p w14:paraId="0F26F079">
      <w:pPr>
        <w:pStyle w:val="8"/>
        <w:spacing w:line="360" w:lineRule="auto"/>
        <w:jc w:val="both"/>
        <w:rPr>
          <w:rFonts w:hint="default" w:ascii="宋体" w:hAnsi="宋体"/>
          <w:color w:val="auto"/>
          <w:sz w:val="24"/>
          <w:szCs w:val="24"/>
          <w:highlight w:val="none"/>
        </w:rPr>
      </w:pPr>
      <w:r>
        <w:rPr>
          <w:rFonts w:ascii="宋体" w:hAnsi="宋体"/>
          <w:color w:val="auto"/>
          <w:sz w:val="24"/>
          <w:szCs w:val="24"/>
          <w:highlight w:val="none"/>
        </w:rPr>
        <w:t xml:space="preserve">日期：   年   月    日                   </w:t>
      </w:r>
    </w:p>
    <w:p w14:paraId="36BC35A2">
      <w:pPr>
        <w:pStyle w:val="8"/>
        <w:spacing w:line="360" w:lineRule="auto"/>
        <w:jc w:val="both"/>
        <w:rPr>
          <w:rFonts w:hint="default" w:ascii="宋体" w:hAnsi="宋体"/>
          <w:color w:val="auto"/>
          <w:sz w:val="24"/>
          <w:szCs w:val="24"/>
          <w:highlight w:val="none"/>
        </w:rPr>
      </w:pPr>
      <w:r>
        <w:rPr>
          <w:rFonts w:ascii="宋体" w:hAnsi="宋体"/>
          <w:color w:val="auto"/>
          <w:sz w:val="24"/>
          <w:szCs w:val="24"/>
          <w:highlight w:val="none"/>
        </w:rPr>
        <w:t>乙方（盖章）：</w:t>
      </w:r>
    </w:p>
    <w:p w14:paraId="0BAD5505">
      <w:pPr>
        <w:pStyle w:val="8"/>
        <w:spacing w:line="360" w:lineRule="auto"/>
        <w:jc w:val="both"/>
        <w:rPr>
          <w:rFonts w:hint="default" w:ascii="宋体" w:hAnsi="宋体"/>
          <w:color w:val="auto"/>
          <w:sz w:val="24"/>
          <w:szCs w:val="24"/>
          <w:highlight w:val="none"/>
        </w:rPr>
      </w:pPr>
      <w:r>
        <w:rPr>
          <w:rFonts w:ascii="宋体" w:hAnsi="宋体"/>
          <w:color w:val="auto"/>
          <w:sz w:val="24"/>
          <w:szCs w:val="24"/>
          <w:highlight w:val="none"/>
        </w:rPr>
        <w:t>代表：</w:t>
      </w:r>
    </w:p>
    <w:p w14:paraId="639ED0D1">
      <w:pPr>
        <w:pStyle w:val="8"/>
        <w:spacing w:line="360" w:lineRule="auto"/>
        <w:jc w:val="both"/>
        <w:rPr>
          <w:rFonts w:hint="default" w:ascii="宋体" w:hAnsi="宋体"/>
          <w:color w:val="auto"/>
          <w:sz w:val="24"/>
          <w:szCs w:val="24"/>
          <w:highlight w:val="none"/>
        </w:rPr>
      </w:pPr>
      <w:r>
        <w:rPr>
          <w:rFonts w:ascii="宋体" w:hAnsi="宋体"/>
          <w:color w:val="auto"/>
          <w:sz w:val="24"/>
          <w:szCs w:val="24"/>
          <w:highlight w:val="none"/>
        </w:rPr>
        <w:t>日期：    年    月   日</w:t>
      </w:r>
    </w:p>
    <w:p w14:paraId="62DCDC91">
      <w:pPr>
        <w:pStyle w:val="8"/>
        <w:spacing w:line="360" w:lineRule="auto"/>
        <w:jc w:val="both"/>
        <w:rPr>
          <w:rFonts w:hint="default" w:ascii="宋体" w:hAnsi="宋体"/>
          <w:color w:val="auto"/>
          <w:sz w:val="24"/>
          <w:szCs w:val="24"/>
          <w:highlight w:val="none"/>
        </w:rPr>
      </w:pPr>
      <w:r>
        <w:rPr>
          <w:rFonts w:ascii="宋体" w:hAnsi="宋体"/>
          <w:color w:val="auto"/>
          <w:sz w:val="24"/>
          <w:szCs w:val="24"/>
          <w:highlight w:val="none"/>
        </w:rPr>
        <w:t>开户名称：</w:t>
      </w:r>
    </w:p>
    <w:p w14:paraId="114F6D4C">
      <w:pPr>
        <w:pStyle w:val="8"/>
        <w:spacing w:line="360" w:lineRule="auto"/>
        <w:jc w:val="both"/>
        <w:rPr>
          <w:rFonts w:hint="default" w:ascii="宋体" w:hAnsi="宋体"/>
          <w:color w:val="auto"/>
          <w:sz w:val="24"/>
          <w:szCs w:val="24"/>
          <w:highlight w:val="none"/>
        </w:rPr>
      </w:pPr>
      <w:r>
        <w:rPr>
          <w:rFonts w:ascii="宋体" w:hAnsi="宋体"/>
          <w:color w:val="auto"/>
          <w:sz w:val="24"/>
          <w:szCs w:val="24"/>
          <w:highlight w:val="none"/>
        </w:rPr>
        <w:t>银行账号：</w:t>
      </w:r>
    </w:p>
    <w:p w14:paraId="1A5714EC">
      <w:pPr>
        <w:spacing w:line="360" w:lineRule="auto"/>
        <w:rPr>
          <w:rFonts w:hint="eastAsia" w:ascii="宋体" w:hAnsi="宋体" w:eastAsia="宋体" w:cs="宋体"/>
          <w:color w:val="auto"/>
          <w:sz w:val="24"/>
          <w:szCs w:val="24"/>
          <w:highlight w:val="none"/>
        </w:rPr>
      </w:pPr>
      <w:r>
        <w:rPr>
          <w:rFonts w:ascii="宋体" w:hAnsi="宋体" w:eastAsia="宋体"/>
          <w:color w:val="auto"/>
          <w:sz w:val="24"/>
          <w:szCs w:val="24"/>
          <w:highlight w:val="none"/>
        </w:rPr>
        <w:t>开户行：</w:t>
      </w:r>
    </w:p>
    <w:p w14:paraId="3781CC6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302F0">
    <w:pPr>
      <w:spacing w:line="196" w:lineRule="auto"/>
      <w:ind w:left="450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781B5">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6781B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E0C18"/>
    <w:rsid w:val="102954E5"/>
    <w:rsid w:val="546E0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2"/>
    <w:basedOn w:val="1"/>
    <w:next w:val="1"/>
    <w:qFormat/>
    <w:uiPriority w:val="0"/>
    <w:pPr>
      <w:keepNext/>
      <w:keepLines/>
      <w:spacing w:before="20" w:after="20" w:line="500" w:lineRule="exact"/>
      <w:ind w:left="567" w:hanging="567"/>
      <w:outlineLvl w:val="1"/>
    </w:pPr>
    <w:rPr>
      <w:rFonts w:ascii="宋体" w:hAnsi="宋体"/>
      <w:b/>
      <w:sz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pacing w:line="480" w:lineRule="auto"/>
    </w:pPr>
    <w:rPr>
      <w:sz w:val="21"/>
    </w:rPr>
  </w:style>
  <w:style w:type="paragraph" w:styleId="4">
    <w:name w:val="Body Text"/>
    <w:basedOn w:val="1"/>
    <w:next w:val="1"/>
    <w:unhideWhenUsed/>
    <w:qFormat/>
    <w:uiPriority w:val="99"/>
    <w:pPr>
      <w:widowControl w:val="0"/>
      <w:kinsoku/>
      <w:autoSpaceDE/>
      <w:autoSpaceDN/>
      <w:adjustRightInd/>
      <w:snapToGrid/>
      <w:spacing w:after="120"/>
      <w:jc w:val="both"/>
      <w:textAlignment w:val="auto"/>
    </w:pPr>
    <w:rPr>
      <w:rFonts w:ascii="Times New Roman" w:hAnsi="Times New Roman" w:eastAsia="宋体" w:cs="Times New Roman"/>
      <w:snapToGrid/>
      <w:color w:val="auto"/>
      <w:kern w:val="2"/>
      <w:szCs w:val="20"/>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null3"/>
    <w:qFormat/>
    <w:uiPriority w:val="0"/>
    <w:rPr>
      <w:rFonts w:hint="eastAsia" w:ascii="Times New Roman" w:hAnsi="Times New Roman"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6140</Words>
  <Characters>6357</Characters>
  <Lines>0</Lines>
  <Paragraphs>0</Paragraphs>
  <TotalTime>0</TotalTime>
  <ScaleCrop>false</ScaleCrop>
  <LinksUpToDate>false</LinksUpToDate>
  <CharactersWithSpaces>6542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2025-08-04T08:50:00Z</dcterms:created>
  <dc:creator>sinnissin</dc:creator>
  <cp:lastModifiedBy>admin</cp:lastModifiedBy>
  <dcterms:modified xsi:type="dcterms:W3CDTF">2025-08-05T07:45:35Z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0202A83D5ABE48F28DC4C2F6F180B945_13</vt:lpwstr>
  </property>
  <property fmtid="{D5CDD505-2E9C-101B-9397-08002B2CF9AE}" pid="4" name="KSOTemplateDocerSaveRecord">
    <vt:lpwstr>eyJoZGlkIjoiOWMxNWQ1MGJlNjk3ZjYwNjM0NjdmNGZhNWVhMWU4MDIiLCJ1c2VySWQiOiI3NDE2Nzc1MjYifQ==</vt:lpwstr>
  </property>
</Properties>
</file>